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EE387" w14:textId="77777777" w:rsidR="00417CDA" w:rsidRPr="00621B71" w:rsidRDefault="00417CDA" w:rsidP="005C35DE">
      <w:pPr>
        <w:autoSpaceDE w:val="0"/>
        <w:autoSpaceDN w:val="0"/>
        <w:adjustRightInd w:val="0"/>
        <w:spacing w:line="276" w:lineRule="auto"/>
        <w:ind w:left="0" w:firstLine="0"/>
        <w:rPr>
          <w:sz w:val="22"/>
          <w:lang w:eastAsia="hr-HR"/>
        </w:rPr>
      </w:pPr>
      <w:bookmarkStart w:id="0" w:name="_GoBack"/>
      <w:bookmarkEnd w:id="0"/>
    </w:p>
    <w:p w14:paraId="1BC77730" w14:textId="77777777" w:rsidR="00B27AF0" w:rsidRPr="00800462" w:rsidRDefault="00B27AF0" w:rsidP="00B27AF0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3FFDF98C" wp14:editId="0D5B45F5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4E34386B" w14:textId="77777777" w:rsidR="00B27AF0" w:rsidRPr="00800462" w:rsidRDefault="00B27AF0" w:rsidP="00B27AF0">
      <w:pPr>
        <w:spacing w:before="60" w:after="1680"/>
        <w:jc w:val="center"/>
        <w:rPr>
          <w:sz w:val="28"/>
        </w:rPr>
      </w:pPr>
      <w:r w:rsidRPr="00800462">
        <w:rPr>
          <w:sz w:val="28"/>
        </w:rPr>
        <w:t>VLADA REPUBLIKE HRVATSKE</w:t>
      </w:r>
    </w:p>
    <w:p w14:paraId="44653265" w14:textId="77777777" w:rsidR="00B27AF0" w:rsidRPr="00800462" w:rsidRDefault="00B27AF0" w:rsidP="00B27AF0"/>
    <w:p w14:paraId="794B1824" w14:textId="76ED40FC" w:rsidR="00B27AF0" w:rsidRPr="00800462" w:rsidRDefault="00B27AF0" w:rsidP="00B27AF0">
      <w:pPr>
        <w:jc w:val="right"/>
      </w:pPr>
      <w:r w:rsidRPr="00800462">
        <w:t xml:space="preserve">Zagreb, </w:t>
      </w:r>
      <w:r>
        <w:t>1</w:t>
      </w:r>
      <w:r w:rsidRPr="00800462">
        <w:t xml:space="preserve">. </w:t>
      </w:r>
      <w:r>
        <w:t xml:space="preserve">veljače </w:t>
      </w:r>
      <w:r w:rsidRPr="00800462">
        <w:t>2019.</w:t>
      </w:r>
    </w:p>
    <w:p w14:paraId="50EA19E8" w14:textId="77777777" w:rsidR="00B27AF0" w:rsidRPr="00800462" w:rsidRDefault="00B27AF0" w:rsidP="00B27AF0">
      <w:pPr>
        <w:jc w:val="right"/>
      </w:pPr>
    </w:p>
    <w:p w14:paraId="3FF0CACC" w14:textId="77777777" w:rsidR="00B27AF0" w:rsidRPr="00800462" w:rsidRDefault="00B27AF0" w:rsidP="00B27AF0">
      <w:pPr>
        <w:jc w:val="right"/>
      </w:pPr>
    </w:p>
    <w:p w14:paraId="13A0D512" w14:textId="77777777" w:rsidR="00B27AF0" w:rsidRPr="00800462" w:rsidRDefault="00B27AF0" w:rsidP="00B27AF0">
      <w:pPr>
        <w:jc w:val="right"/>
      </w:pPr>
    </w:p>
    <w:p w14:paraId="1C1AC8AA" w14:textId="6FCB55B3" w:rsidR="00B27AF0" w:rsidRPr="00800462" w:rsidRDefault="00B27AF0" w:rsidP="00B27AF0">
      <w:r w:rsidRPr="00800462">
        <w:t>__________________________________________</w:t>
      </w:r>
      <w:r>
        <w:t>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6847"/>
      </w:tblGrid>
      <w:tr w:rsidR="00B27AF0" w:rsidRPr="00800462" w14:paraId="2C95E715" w14:textId="77777777" w:rsidTr="003E2CCE">
        <w:tc>
          <w:tcPr>
            <w:tcW w:w="1951" w:type="dxa"/>
          </w:tcPr>
          <w:p w14:paraId="4A90F348" w14:textId="77777777" w:rsidR="00B27AF0" w:rsidRPr="00800462" w:rsidRDefault="00B27AF0" w:rsidP="003E2CCE">
            <w:pPr>
              <w:spacing w:line="360" w:lineRule="auto"/>
              <w:jc w:val="center"/>
            </w:pPr>
            <w:r w:rsidRPr="00800462">
              <w:rPr>
                <w:b/>
                <w:smallCaps/>
              </w:rPr>
              <w:t>Predlagatelj</w:t>
            </w:r>
            <w:r w:rsidRPr="00800462">
              <w:rPr>
                <w:b/>
              </w:rPr>
              <w:t>:</w:t>
            </w:r>
          </w:p>
        </w:tc>
        <w:tc>
          <w:tcPr>
            <w:tcW w:w="7229" w:type="dxa"/>
          </w:tcPr>
          <w:p w14:paraId="35D1DC9C" w14:textId="02EBE2D8" w:rsidR="00B27AF0" w:rsidRPr="002E4945" w:rsidRDefault="00B27AF0" w:rsidP="00B27AF0">
            <w:pPr>
              <w:ind w:left="0" w:firstLine="0"/>
            </w:pPr>
            <w:r w:rsidRPr="002E4945">
              <w:t xml:space="preserve">Ministarstvo </w:t>
            </w:r>
            <w:r>
              <w:rPr>
                <w:rFonts w:eastAsia="Times New Roman"/>
                <w:lang w:eastAsia="hr-HR"/>
              </w:rPr>
              <w:t>gospodarstva, poduzetništva i obrta</w:t>
            </w:r>
          </w:p>
          <w:p w14:paraId="4F092323" w14:textId="77777777" w:rsidR="00B27AF0" w:rsidRPr="00800462" w:rsidRDefault="00B27AF0" w:rsidP="003E2CCE">
            <w:pPr>
              <w:spacing w:line="360" w:lineRule="auto"/>
            </w:pPr>
          </w:p>
        </w:tc>
      </w:tr>
    </w:tbl>
    <w:p w14:paraId="0DCEE3A7" w14:textId="22792C4D" w:rsidR="00B27AF0" w:rsidRPr="00800462" w:rsidRDefault="00B27AF0" w:rsidP="00B27AF0">
      <w:r w:rsidRPr="00800462">
        <w:t>__________________________________________</w:t>
      </w:r>
      <w:r>
        <w:t>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7127"/>
      </w:tblGrid>
      <w:tr w:rsidR="00B27AF0" w:rsidRPr="00B27AF0" w14:paraId="772D0D7D" w14:textId="77777777" w:rsidTr="003E2CCE">
        <w:tc>
          <w:tcPr>
            <w:tcW w:w="1951" w:type="dxa"/>
          </w:tcPr>
          <w:p w14:paraId="55003B09" w14:textId="77777777" w:rsidR="00B27AF0" w:rsidRPr="00800462" w:rsidRDefault="00B27AF0" w:rsidP="003E2CCE">
            <w:pPr>
              <w:spacing w:line="360" w:lineRule="auto"/>
            </w:pPr>
            <w:r w:rsidRPr="00800462">
              <w:rPr>
                <w:b/>
                <w:smallCaps/>
              </w:rPr>
              <w:t>Predmet</w:t>
            </w:r>
            <w:r w:rsidRPr="00800462">
              <w:rPr>
                <w:b/>
              </w:rPr>
              <w:t>:</w:t>
            </w:r>
          </w:p>
        </w:tc>
        <w:tc>
          <w:tcPr>
            <w:tcW w:w="7229" w:type="dxa"/>
          </w:tcPr>
          <w:p w14:paraId="04E5990C" w14:textId="785AB35A" w:rsidR="00B27AF0" w:rsidRPr="00B27AF0" w:rsidRDefault="00B27AF0" w:rsidP="00B27AF0">
            <w:pPr>
              <w:ind w:left="317" w:firstLine="0"/>
            </w:pPr>
            <w:r w:rsidRPr="00B27AF0">
              <w:t>Prijedlog odluke</w:t>
            </w:r>
            <w:r w:rsidRPr="00B27AF0">
              <w:rPr>
                <w:color w:val="FF0000"/>
              </w:rPr>
              <w:t xml:space="preserve"> </w:t>
            </w:r>
            <w:r w:rsidRPr="00B27AF0">
              <w:t>o proglašenju p</w:t>
            </w:r>
            <w:r w:rsidR="00601880">
              <w:t>rojekta "</w:t>
            </w:r>
            <w:r>
              <w:t xml:space="preserve">Razvoj vodno-komunalne </w:t>
            </w:r>
            <w:r w:rsidRPr="00B27AF0">
              <w:t>infrastrukture Dubrovnik</w:t>
            </w:r>
            <w:r w:rsidR="00601880">
              <w:t>"</w:t>
            </w:r>
            <w:r w:rsidRPr="00B27AF0">
              <w:t xml:space="preserve"> strateškim investicijskim projektom Republike Hrvatske</w:t>
            </w:r>
          </w:p>
        </w:tc>
      </w:tr>
    </w:tbl>
    <w:p w14:paraId="166B7417" w14:textId="71AD4780" w:rsidR="00B27AF0" w:rsidRPr="00800462" w:rsidRDefault="00B27AF0" w:rsidP="00B27AF0">
      <w:r w:rsidRPr="00800462">
        <w:t>__________________________________________</w:t>
      </w:r>
      <w:r>
        <w:t>______________________________</w:t>
      </w:r>
    </w:p>
    <w:p w14:paraId="33515D9D" w14:textId="77777777" w:rsidR="00B27AF0" w:rsidRPr="00800462" w:rsidRDefault="00B27AF0" w:rsidP="00B27AF0"/>
    <w:p w14:paraId="53811FE8" w14:textId="77777777" w:rsidR="00B27AF0" w:rsidRPr="00800462" w:rsidRDefault="00B27AF0" w:rsidP="00B27AF0"/>
    <w:p w14:paraId="1BB1F940" w14:textId="77777777" w:rsidR="00B27AF0" w:rsidRPr="00800462" w:rsidRDefault="00B27AF0" w:rsidP="00B27AF0"/>
    <w:p w14:paraId="15B3CA4B" w14:textId="77777777" w:rsidR="00B27AF0" w:rsidRPr="00800462" w:rsidRDefault="00B27AF0" w:rsidP="00B27AF0"/>
    <w:p w14:paraId="2D646202" w14:textId="77777777" w:rsidR="00B27AF0" w:rsidRPr="00800462" w:rsidRDefault="00B27AF0" w:rsidP="00B27AF0"/>
    <w:p w14:paraId="7F10BA7E" w14:textId="77777777" w:rsidR="00B27AF0" w:rsidRDefault="00B27AF0" w:rsidP="00B27AF0">
      <w:pPr>
        <w:pStyle w:val="Header"/>
      </w:pPr>
    </w:p>
    <w:p w14:paraId="3FCF76D3" w14:textId="77777777" w:rsidR="00B27AF0" w:rsidRDefault="00B27AF0" w:rsidP="00B27AF0"/>
    <w:p w14:paraId="150E4AA8" w14:textId="77777777" w:rsidR="00B27AF0" w:rsidRDefault="00B27AF0" w:rsidP="00B27AF0">
      <w:pPr>
        <w:pStyle w:val="Footer"/>
      </w:pPr>
    </w:p>
    <w:p w14:paraId="6052C5E1" w14:textId="77777777" w:rsidR="00B27AF0" w:rsidRDefault="00B27AF0" w:rsidP="00B27AF0"/>
    <w:p w14:paraId="627E2114" w14:textId="77777777" w:rsidR="00B27AF0" w:rsidRDefault="00B27AF0" w:rsidP="00B27AF0"/>
    <w:p w14:paraId="1BC7DC07" w14:textId="77777777" w:rsidR="00B27AF0" w:rsidRDefault="00B27AF0" w:rsidP="00B27AF0"/>
    <w:p w14:paraId="5D50B143" w14:textId="77777777" w:rsidR="00B27AF0" w:rsidRDefault="00B27AF0" w:rsidP="00B27AF0"/>
    <w:p w14:paraId="7BAD446F" w14:textId="77777777" w:rsidR="00B27AF0" w:rsidRDefault="00B27AF0" w:rsidP="00B27AF0"/>
    <w:p w14:paraId="41274225" w14:textId="77777777" w:rsidR="00B27AF0" w:rsidRDefault="00B27AF0" w:rsidP="00B27AF0"/>
    <w:p w14:paraId="1A216DF8" w14:textId="77777777" w:rsidR="00B27AF0" w:rsidRDefault="00B27AF0" w:rsidP="00B27AF0"/>
    <w:p w14:paraId="0F84857C" w14:textId="77777777" w:rsidR="00B27AF0" w:rsidRDefault="00B27AF0" w:rsidP="00B27AF0"/>
    <w:p w14:paraId="6F149B3D" w14:textId="77777777" w:rsidR="00B27AF0" w:rsidRDefault="00B27AF0" w:rsidP="00B27AF0">
      <w:pPr>
        <w:ind w:left="0" w:firstLine="0"/>
      </w:pPr>
    </w:p>
    <w:p w14:paraId="04946115" w14:textId="77777777" w:rsidR="00B27AF0" w:rsidRDefault="00B27AF0" w:rsidP="00B27AF0"/>
    <w:p w14:paraId="4B5D2816" w14:textId="77777777" w:rsidR="00B27AF0" w:rsidRDefault="00B27AF0" w:rsidP="00B27AF0"/>
    <w:p w14:paraId="4FD7BC71" w14:textId="77777777" w:rsidR="00B27AF0" w:rsidRDefault="00B27AF0" w:rsidP="00B27AF0"/>
    <w:p w14:paraId="22651CD6" w14:textId="77777777" w:rsidR="00B27AF0" w:rsidRDefault="00B27AF0" w:rsidP="00B27AF0"/>
    <w:p w14:paraId="1C0FF2CB" w14:textId="77777777" w:rsidR="00B27AF0" w:rsidRDefault="00B27AF0" w:rsidP="00B27AF0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  <w:r w:rsidRPr="005222AE">
        <w:rPr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61F9792C" w14:textId="77777777" w:rsidR="00B27AF0" w:rsidRDefault="00B27AF0" w:rsidP="00B27AF0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</w:p>
    <w:p w14:paraId="3AAA6A0C" w14:textId="77777777" w:rsidR="00B27AF0" w:rsidRDefault="00B27AF0" w:rsidP="00B27AF0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</w:p>
    <w:p w14:paraId="2AE2204D" w14:textId="77777777" w:rsidR="00B27AF0" w:rsidRPr="00FF2DB7" w:rsidRDefault="00B27AF0" w:rsidP="00B27AF0">
      <w:r>
        <w:tab/>
      </w:r>
      <w:r>
        <w:tab/>
      </w:r>
      <w:r>
        <w:tab/>
      </w:r>
      <w:r>
        <w:tab/>
      </w:r>
    </w:p>
    <w:p w14:paraId="36B318C4" w14:textId="77777777" w:rsidR="00B27AF0" w:rsidRDefault="00E265F6" w:rsidP="005C35DE">
      <w:pPr>
        <w:autoSpaceDE w:val="0"/>
        <w:autoSpaceDN w:val="0"/>
        <w:adjustRightInd w:val="0"/>
        <w:spacing w:line="276" w:lineRule="auto"/>
        <w:ind w:left="0" w:firstLine="0"/>
        <w:rPr>
          <w:sz w:val="22"/>
          <w:lang w:eastAsia="hr-HR"/>
        </w:rPr>
      </w:pPr>
      <w:r w:rsidRPr="00621B71">
        <w:rPr>
          <w:sz w:val="22"/>
          <w:lang w:eastAsia="hr-HR"/>
        </w:rPr>
        <w:lastRenderedPageBreak/>
        <w:tab/>
      </w:r>
      <w:r w:rsidRPr="00621B71">
        <w:rPr>
          <w:sz w:val="22"/>
          <w:lang w:eastAsia="hr-HR"/>
        </w:rPr>
        <w:tab/>
      </w:r>
      <w:r w:rsidRPr="00621B71">
        <w:rPr>
          <w:sz w:val="22"/>
          <w:lang w:eastAsia="hr-HR"/>
        </w:rPr>
        <w:tab/>
      </w:r>
      <w:r w:rsidRPr="00621B71">
        <w:rPr>
          <w:sz w:val="22"/>
          <w:lang w:eastAsia="hr-HR"/>
        </w:rPr>
        <w:tab/>
      </w:r>
      <w:r w:rsidRPr="00621B71">
        <w:rPr>
          <w:sz w:val="22"/>
          <w:lang w:eastAsia="hr-HR"/>
        </w:rPr>
        <w:tab/>
      </w:r>
      <w:r w:rsidRPr="00621B71">
        <w:rPr>
          <w:sz w:val="22"/>
          <w:lang w:eastAsia="hr-HR"/>
        </w:rPr>
        <w:tab/>
      </w:r>
      <w:r w:rsidRPr="00621B71">
        <w:rPr>
          <w:sz w:val="22"/>
          <w:lang w:eastAsia="hr-HR"/>
        </w:rPr>
        <w:tab/>
      </w:r>
      <w:r w:rsidRPr="00621B71">
        <w:rPr>
          <w:sz w:val="22"/>
          <w:lang w:eastAsia="hr-HR"/>
        </w:rPr>
        <w:tab/>
      </w:r>
      <w:r w:rsidRPr="00621B71">
        <w:rPr>
          <w:sz w:val="22"/>
          <w:lang w:eastAsia="hr-HR"/>
        </w:rPr>
        <w:tab/>
      </w:r>
      <w:r w:rsidRPr="00621B71">
        <w:rPr>
          <w:sz w:val="22"/>
          <w:lang w:eastAsia="hr-HR"/>
        </w:rPr>
        <w:tab/>
      </w:r>
    </w:p>
    <w:p w14:paraId="744EE388" w14:textId="0FC9D8D8" w:rsidR="00E265F6" w:rsidRPr="00B27AF0" w:rsidRDefault="00E265F6" w:rsidP="00B27AF0">
      <w:pPr>
        <w:autoSpaceDE w:val="0"/>
        <w:autoSpaceDN w:val="0"/>
        <w:adjustRightInd w:val="0"/>
        <w:spacing w:line="276" w:lineRule="auto"/>
        <w:ind w:left="7090" w:firstLine="709"/>
        <w:rPr>
          <w:sz w:val="22"/>
          <w:lang w:eastAsia="hr-HR"/>
        </w:rPr>
      </w:pPr>
      <w:r w:rsidRPr="00621B71">
        <w:rPr>
          <w:i/>
          <w:sz w:val="22"/>
          <w:lang w:eastAsia="hr-HR"/>
        </w:rPr>
        <w:t>PRIJEDLOG</w:t>
      </w:r>
    </w:p>
    <w:p w14:paraId="744EE389" w14:textId="77777777" w:rsidR="00E265F6" w:rsidRPr="00621B71" w:rsidRDefault="00E265F6" w:rsidP="005C35DE">
      <w:pPr>
        <w:autoSpaceDE w:val="0"/>
        <w:autoSpaceDN w:val="0"/>
        <w:adjustRightInd w:val="0"/>
        <w:spacing w:line="276" w:lineRule="auto"/>
        <w:ind w:left="0" w:firstLine="0"/>
        <w:rPr>
          <w:sz w:val="22"/>
          <w:lang w:eastAsia="hr-HR"/>
        </w:rPr>
      </w:pPr>
    </w:p>
    <w:p w14:paraId="744EE38A" w14:textId="77777777" w:rsidR="00B1477E" w:rsidRDefault="00B1477E" w:rsidP="00B1477E">
      <w:pPr>
        <w:autoSpaceDE w:val="0"/>
        <w:autoSpaceDN w:val="0"/>
        <w:adjustRightInd w:val="0"/>
        <w:spacing w:after="120" w:line="276" w:lineRule="auto"/>
        <w:ind w:left="0" w:firstLine="0"/>
        <w:rPr>
          <w:sz w:val="22"/>
          <w:lang w:eastAsia="hr-HR"/>
        </w:rPr>
      </w:pPr>
      <w:r>
        <w:rPr>
          <w:sz w:val="22"/>
          <w:lang w:eastAsia="hr-HR"/>
        </w:rPr>
        <w:t>Na temelju članka 14. a u vezi s člankom 33. Zakona o strateškim investicijskim projektima Republike Hrvatske (Narodne novine, broj 29/18), Vlada Republike Hrvatske je na sjednici održanoj  _________ 2018. godine donijela</w:t>
      </w:r>
    </w:p>
    <w:p w14:paraId="744EE38B" w14:textId="77777777" w:rsidR="00834CB4" w:rsidRPr="00621B71" w:rsidRDefault="00834CB4" w:rsidP="005C35DE">
      <w:pPr>
        <w:autoSpaceDE w:val="0"/>
        <w:autoSpaceDN w:val="0"/>
        <w:adjustRightInd w:val="0"/>
        <w:spacing w:line="276" w:lineRule="auto"/>
        <w:ind w:left="0" w:firstLine="0"/>
        <w:rPr>
          <w:sz w:val="22"/>
          <w:lang w:eastAsia="hr-HR"/>
        </w:rPr>
      </w:pPr>
    </w:p>
    <w:p w14:paraId="744EE38C" w14:textId="77777777" w:rsidR="00834CB4" w:rsidRPr="00621B71" w:rsidRDefault="00834CB4" w:rsidP="00423EEE">
      <w:pPr>
        <w:autoSpaceDE w:val="0"/>
        <w:autoSpaceDN w:val="0"/>
        <w:adjustRightInd w:val="0"/>
        <w:spacing w:line="276" w:lineRule="auto"/>
        <w:ind w:left="0" w:firstLine="0"/>
        <w:jc w:val="left"/>
        <w:rPr>
          <w:iCs/>
          <w:sz w:val="22"/>
        </w:rPr>
      </w:pPr>
    </w:p>
    <w:p w14:paraId="744EE38D" w14:textId="77777777" w:rsidR="00926512" w:rsidRPr="00621B71" w:rsidRDefault="00926512" w:rsidP="00423EEE">
      <w:pPr>
        <w:spacing w:after="120" w:line="276" w:lineRule="auto"/>
        <w:jc w:val="center"/>
        <w:rPr>
          <w:b/>
          <w:bCs/>
          <w:sz w:val="22"/>
          <w:lang w:eastAsia="hr-HR"/>
        </w:rPr>
      </w:pPr>
      <w:r w:rsidRPr="00621B71">
        <w:rPr>
          <w:b/>
          <w:bCs/>
          <w:sz w:val="22"/>
          <w:lang w:eastAsia="hr-HR"/>
        </w:rPr>
        <w:t>ODLUKU</w:t>
      </w:r>
    </w:p>
    <w:p w14:paraId="744EE38E" w14:textId="77777777" w:rsidR="00756EE4" w:rsidRPr="00621B71" w:rsidRDefault="00926512" w:rsidP="004F0A42">
      <w:pPr>
        <w:pStyle w:val="NoSpacing"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621B71">
        <w:rPr>
          <w:rFonts w:ascii="Times New Roman" w:hAnsi="Times New Roman"/>
          <w:b/>
          <w:bCs/>
          <w:sz w:val="22"/>
          <w:szCs w:val="22"/>
        </w:rPr>
        <w:t xml:space="preserve">O PROGLAŠENJU PROJEKTA </w:t>
      </w:r>
      <w:r w:rsidR="00B430A2" w:rsidRPr="00621B71">
        <w:rPr>
          <w:rFonts w:ascii="Times New Roman" w:hAnsi="Times New Roman"/>
          <w:b/>
          <w:bCs/>
          <w:sz w:val="22"/>
          <w:szCs w:val="22"/>
        </w:rPr>
        <w:t>„</w:t>
      </w:r>
      <w:r w:rsidR="00D367F3" w:rsidRPr="00621B71">
        <w:rPr>
          <w:rFonts w:ascii="Times New Roman" w:hAnsi="Times New Roman"/>
          <w:b/>
          <w:sz w:val="22"/>
          <w:szCs w:val="22"/>
          <w:lang w:eastAsia="en-US"/>
        </w:rPr>
        <w:t>RAZVOJ VODNO-KOMUNALNE INFRASTRUKTURE DUBROVNIK</w:t>
      </w:r>
      <w:r w:rsidR="009B1B16" w:rsidRPr="00621B71">
        <w:rPr>
          <w:rFonts w:ascii="Times New Roman" w:hAnsi="Times New Roman"/>
          <w:b/>
          <w:sz w:val="22"/>
          <w:szCs w:val="22"/>
        </w:rPr>
        <w:t>“</w:t>
      </w:r>
      <w:r w:rsidR="004F0A42" w:rsidRPr="00621B7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21B71">
        <w:rPr>
          <w:rFonts w:ascii="Times New Roman" w:hAnsi="Times New Roman"/>
          <w:b/>
          <w:bCs/>
          <w:sz w:val="22"/>
          <w:szCs w:val="22"/>
        </w:rPr>
        <w:t>STRATEŠKIM INVESTICIJSKIM PROJEKTOM REPUBLIKE HRVATSKE</w:t>
      </w:r>
    </w:p>
    <w:p w14:paraId="744EE38F" w14:textId="77777777" w:rsidR="00423EEE" w:rsidRPr="00621B71" w:rsidRDefault="00423EEE" w:rsidP="00E23D1C">
      <w:pPr>
        <w:pStyle w:val="t-10-9-kurz-s"/>
        <w:spacing w:beforeLines="30" w:before="72" w:beforeAutospacing="0" w:afterLines="30" w:after="72" w:afterAutospacing="0" w:line="276" w:lineRule="auto"/>
        <w:jc w:val="center"/>
        <w:rPr>
          <w:b/>
          <w:iCs/>
          <w:color w:val="000000"/>
          <w:sz w:val="22"/>
          <w:szCs w:val="22"/>
        </w:rPr>
      </w:pPr>
    </w:p>
    <w:p w14:paraId="744EE390" w14:textId="77777777" w:rsidR="00756EE4" w:rsidRPr="00621B71" w:rsidRDefault="00926512" w:rsidP="0034335E">
      <w:pPr>
        <w:pStyle w:val="t-10-9-kurz-s"/>
        <w:spacing w:beforeLines="30" w:before="72" w:beforeAutospacing="0" w:afterLines="30" w:after="72" w:afterAutospacing="0" w:line="276" w:lineRule="auto"/>
        <w:jc w:val="center"/>
        <w:rPr>
          <w:b/>
          <w:iCs/>
          <w:color w:val="000000"/>
          <w:sz w:val="22"/>
          <w:szCs w:val="22"/>
        </w:rPr>
      </w:pPr>
      <w:r w:rsidRPr="00621B71">
        <w:rPr>
          <w:b/>
          <w:iCs/>
          <w:color w:val="000000"/>
          <w:sz w:val="22"/>
          <w:szCs w:val="22"/>
        </w:rPr>
        <w:t>I.</w:t>
      </w:r>
    </w:p>
    <w:p w14:paraId="744EE391" w14:textId="77777777" w:rsidR="00F0088F" w:rsidRPr="00621B71" w:rsidRDefault="001C78B0" w:rsidP="0034335E">
      <w:pPr>
        <w:autoSpaceDE w:val="0"/>
        <w:autoSpaceDN w:val="0"/>
        <w:adjustRightInd w:val="0"/>
        <w:spacing w:after="120" w:line="276" w:lineRule="auto"/>
        <w:ind w:left="0" w:firstLine="0"/>
        <w:rPr>
          <w:sz w:val="22"/>
          <w:lang w:eastAsia="hr-HR"/>
        </w:rPr>
      </w:pPr>
      <w:r w:rsidRPr="00621B71">
        <w:rPr>
          <w:sz w:val="22"/>
          <w:lang w:eastAsia="hr-HR"/>
        </w:rPr>
        <w:t>Na</w:t>
      </w:r>
      <w:r w:rsidR="00926512" w:rsidRPr="00621B71">
        <w:rPr>
          <w:sz w:val="22"/>
          <w:lang w:eastAsia="hr-HR"/>
        </w:rPr>
        <w:t xml:space="preserve"> prijedlog Povjerenstva za procjenu i utvr</w:t>
      </w:r>
      <w:r w:rsidR="00C5039F" w:rsidRPr="00621B71">
        <w:rPr>
          <w:sz w:val="22"/>
          <w:lang w:eastAsia="hr-HR"/>
        </w:rPr>
        <w:t>đ</w:t>
      </w:r>
      <w:r w:rsidR="00926512" w:rsidRPr="00621B71">
        <w:rPr>
          <w:sz w:val="22"/>
          <w:lang w:eastAsia="hr-HR"/>
        </w:rPr>
        <w:t>ivanje prijedloga strateških</w:t>
      </w:r>
      <w:r w:rsidRPr="00621B71">
        <w:rPr>
          <w:sz w:val="22"/>
          <w:lang w:eastAsia="hr-HR"/>
        </w:rPr>
        <w:t xml:space="preserve"> </w:t>
      </w:r>
      <w:r w:rsidR="00EE0500" w:rsidRPr="00621B71">
        <w:rPr>
          <w:sz w:val="22"/>
          <w:lang w:eastAsia="hr-HR"/>
        </w:rPr>
        <w:t>projekata</w:t>
      </w:r>
      <w:r w:rsidRPr="00621B71">
        <w:rPr>
          <w:sz w:val="22"/>
          <w:lang w:eastAsia="hr-HR"/>
        </w:rPr>
        <w:t>,</w:t>
      </w:r>
      <w:r w:rsidR="00926512" w:rsidRPr="00621B71">
        <w:rPr>
          <w:sz w:val="22"/>
          <w:lang w:eastAsia="hr-HR"/>
        </w:rPr>
        <w:t xml:space="preserve"> projekt pod nazivom </w:t>
      </w:r>
      <w:r w:rsidR="00B430A2" w:rsidRPr="00621B71">
        <w:rPr>
          <w:sz w:val="22"/>
          <w:lang w:eastAsia="hr-HR"/>
        </w:rPr>
        <w:t>„</w:t>
      </w:r>
      <w:r w:rsidR="00D367F3" w:rsidRPr="00621B71">
        <w:rPr>
          <w:sz w:val="22"/>
        </w:rPr>
        <w:t>Razvoj vodno-komunalne infrastrukture Dubrovnik</w:t>
      </w:r>
      <w:r w:rsidR="00B430A2" w:rsidRPr="00621B71">
        <w:rPr>
          <w:iCs/>
          <w:sz w:val="22"/>
        </w:rPr>
        <w:t xml:space="preserve">“ (u daljnjem tekstu: </w:t>
      </w:r>
      <w:r w:rsidR="005A7329" w:rsidRPr="00621B71">
        <w:rPr>
          <w:iCs/>
          <w:sz w:val="22"/>
        </w:rPr>
        <w:t>Projekt</w:t>
      </w:r>
      <w:r w:rsidR="00B430A2" w:rsidRPr="00621B71">
        <w:rPr>
          <w:iCs/>
          <w:sz w:val="22"/>
        </w:rPr>
        <w:t>)</w:t>
      </w:r>
      <w:r w:rsidRPr="00621B71">
        <w:rPr>
          <w:iCs/>
          <w:sz w:val="22"/>
        </w:rPr>
        <w:t xml:space="preserve"> proglašava se</w:t>
      </w:r>
      <w:r w:rsidR="00445900" w:rsidRPr="00621B71">
        <w:rPr>
          <w:iCs/>
          <w:sz w:val="22"/>
        </w:rPr>
        <w:t xml:space="preserve"> </w:t>
      </w:r>
      <w:r w:rsidR="008521C5" w:rsidRPr="00621B71">
        <w:rPr>
          <w:iCs/>
          <w:sz w:val="22"/>
        </w:rPr>
        <w:t xml:space="preserve">strateškim </w:t>
      </w:r>
      <w:r w:rsidR="00B430A2" w:rsidRPr="00621B71">
        <w:rPr>
          <w:iCs/>
          <w:sz w:val="22"/>
        </w:rPr>
        <w:t xml:space="preserve">investicijskim </w:t>
      </w:r>
      <w:r w:rsidR="008521C5" w:rsidRPr="00621B71">
        <w:rPr>
          <w:iCs/>
          <w:sz w:val="22"/>
        </w:rPr>
        <w:t>projektom Republike Hrvatske</w:t>
      </w:r>
      <w:r w:rsidR="00C5039F" w:rsidRPr="00621B71">
        <w:rPr>
          <w:iCs/>
          <w:sz w:val="22"/>
        </w:rPr>
        <w:t>.</w:t>
      </w:r>
    </w:p>
    <w:p w14:paraId="744EE392" w14:textId="77777777" w:rsidR="00F0088F" w:rsidRPr="00621B71" w:rsidRDefault="00C5039F" w:rsidP="0034335E">
      <w:p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eastAsia="TimesNewRoman,BoldItalic"/>
          <w:b/>
          <w:bCs/>
          <w:iCs/>
          <w:sz w:val="22"/>
        </w:rPr>
      </w:pPr>
      <w:r w:rsidRPr="00621B71">
        <w:rPr>
          <w:rFonts w:eastAsia="TimesNewRoman,BoldItalic"/>
          <w:b/>
          <w:bCs/>
          <w:iCs/>
          <w:sz w:val="22"/>
        </w:rPr>
        <w:t>II</w:t>
      </w:r>
      <w:r w:rsidR="00926512" w:rsidRPr="00621B71">
        <w:rPr>
          <w:rFonts w:eastAsia="TimesNewRoman,BoldItalic"/>
          <w:b/>
          <w:bCs/>
          <w:iCs/>
          <w:sz w:val="22"/>
        </w:rPr>
        <w:t>.</w:t>
      </w:r>
    </w:p>
    <w:p w14:paraId="744EE393" w14:textId="77777777" w:rsidR="00756EE4" w:rsidRPr="00A234C3" w:rsidRDefault="00FD07F5" w:rsidP="0034335E">
      <w:pPr>
        <w:autoSpaceDE w:val="0"/>
        <w:autoSpaceDN w:val="0"/>
        <w:adjustRightInd w:val="0"/>
        <w:spacing w:after="120" w:line="276" w:lineRule="auto"/>
        <w:ind w:left="0" w:firstLine="0"/>
        <w:rPr>
          <w:sz w:val="22"/>
        </w:rPr>
      </w:pPr>
      <w:r w:rsidRPr="00A234C3">
        <w:rPr>
          <w:iCs/>
          <w:sz w:val="22"/>
        </w:rPr>
        <w:t>V</w:t>
      </w:r>
      <w:r w:rsidR="00C5039F" w:rsidRPr="00A234C3">
        <w:rPr>
          <w:iCs/>
          <w:sz w:val="22"/>
        </w:rPr>
        <w:t xml:space="preserve">rijednost </w:t>
      </w:r>
      <w:r w:rsidRPr="00A234C3">
        <w:rPr>
          <w:iCs/>
          <w:sz w:val="22"/>
        </w:rPr>
        <w:t xml:space="preserve">ukupnih </w:t>
      </w:r>
      <w:r w:rsidR="00C5039F" w:rsidRPr="00A234C3">
        <w:rPr>
          <w:sz w:val="22"/>
          <w:lang w:eastAsia="hr-HR"/>
        </w:rPr>
        <w:t xml:space="preserve">troškova </w:t>
      </w:r>
      <w:r w:rsidR="005A7329" w:rsidRPr="00A234C3">
        <w:rPr>
          <w:sz w:val="22"/>
          <w:lang w:eastAsia="hr-HR"/>
        </w:rPr>
        <w:t xml:space="preserve">Projekta </w:t>
      </w:r>
      <w:r w:rsidR="002559AC" w:rsidRPr="00A234C3">
        <w:rPr>
          <w:sz w:val="22"/>
          <w:lang w:eastAsia="hr-HR"/>
        </w:rPr>
        <w:t xml:space="preserve">procijenjena </w:t>
      </w:r>
      <w:r w:rsidR="00C5039F" w:rsidRPr="00A234C3">
        <w:rPr>
          <w:sz w:val="22"/>
          <w:lang w:eastAsia="hr-HR"/>
        </w:rPr>
        <w:t>kroz materijalnu i nematerijalnu imovinu</w:t>
      </w:r>
      <w:r w:rsidR="00B430A2" w:rsidRPr="00A234C3">
        <w:rPr>
          <w:sz w:val="22"/>
          <w:lang w:eastAsia="hr-HR"/>
        </w:rPr>
        <w:t xml:space="preserve"> </w:t>
      </w:r>
      <w:r w:rsidR="00C5039F" w:rsidRPr="00A234C3">
        <w:rPr>
          <w:sz w:val="22"/>
        </w:rPr>
        <w:t>iznosi</w:t>
      </w:r>
      <w:r w:rsidR="0094707B" w:rsidRPr="00A234C3">
        <w:rPr>
          <w:sz w:val="22"/>
        </w:rPr>
        <w:t xml:space="preserve"> </w:t>
      </w:r>
      <w:r w:rsidR="00A234C3" w:rsidRPr="00A234C3">
        <w:rPr>
          <w:sz w:val="22"/>
        </w:rPr>
        <w:t>822.637.283,00</w:t>
      </w:r>
      <w:r w:rsidR="0094707B" w:rsidRPr="00A234C3">
        <w:rPr>
          <w:rFonts w:eastAsiaTheme="minorHAnsi"/>
          <w:sz w:val="22"/>
        </w:rPr>
        <w:t xml:space="preserve"> </w:t>
      </w:r>
      <w:r w:rsidR="0093079B" w:rsidRPr="00A234C3">
        <w:rPr>
          <w:rStyle w:val="Tijeloteksta1"/>
          <w:rFonts w:ascii="Times New Roman" w:hAnsi="Times New Roman" w:cs="Times New Roman"/>
          <w:sz w:val="22"/>
          <w:szCs w:val="22"/>
        </w:rPr>
        <w:t xml:space="preserve">kuna s </w:t>
      </w:r>
      <w:r w:rsidR="00A02398" w:rsidRPr="00A234C3">
        <w:rPr>
          <w:sz w:val="22"/>
        </w:rPr>
        <w:t>porezom na dodanu vrijednost</w:t>
      </w:r>
      <w:r w:rsidR="0093079B" w:rsidRPr="00A234C3">
        <w:rPr>
          <w:rStyle w:val="Tijeloteksta1"/>
          <w:rFonts w:ascii="Times New Roman" w:hAnsi="Times New Roman" w:cs="Times New Roman"/>
          <w:sz w:val="22"/>
          <w:szCs w:val="22"/>
        </w:rPr>
        <w:t>.</w:t>
      </w:r>
      <w:r w:rsidR="00D367F3" w:rsidRPr="00A234C3">
        <w:rPr>
          <w:rStyle w:val="Tijeloteksta1"/>
          <w:rFonts w:ascii="Times New Roman" w:hAnsi="Times New Roman" w:cs="Times New Roman"/>
          <w:sz w:val="22"/>
          <w:szCs w:val="22"/>
        </w:rPr>
        <w:t xml:space="preserve"> </w:t>
      </w:r>
    </w:p>
    <w:p w14:paraId="744EE394" w14:textId="77777777" w:rsidR="00C5039F" w:rsidRPr="00621B71" w:rsidRDefault="00C5039F" w:rsidP="0034335E">
      <w:pPr>
        <w:pStyle w:val="t-9-8"/>
        <w:spacing w:before="120" w:beforeAutospacing="0" w:after="120" w:afterAutospacing="0" w:line="276" w:lineRule="auto"/>
        <w:jc w:val="center"/>
        <w:rPr>
          <w:b/>
          <w:sz w:val="22"/>
          <w:szCs w:val="22"/>
        </w:rPr>
      </w:pPr>
      <w:r w:rsidRPr="00621B71">
        <w:rPr>
          <w:b/>
          <w:sz w:val="22"/>
          <w:szCs w:val="22"/>
        </w:rPr>
        <w:t>III.</w:t>
      </w:r>
    </w:p>
    <w:p w14:paraId="744EE395" w14:textId="77777777" w:rsidR="00C5039F" w:rsidRPr="00621B71" w:rsidRDefault="00B430A2" w:rsidP="0034335E">
      <w:pPr>
        <w:spacing w:after="120" w:line="276" w:lineRule="auto"/>
        <w:ind w:left="0" w:firstLine="0"/>
        <w:rPr>
          <w:sz w:val="22"/>
        </w:rPr>
      </w:pPr>
      <w:r w:rsidRPr="00621B71">
        <w:rPr>
          <w:sz w:val="22"/>
        </w:rPr>
        <w:t>Investitor je</w:t>
      </w:r>
      <w:r w:rsidR="00C5039F" w:rsidRPr="00621B71">
        <w:rPr>
          <w:sz w:val="22"/>
        </w:rPr>
        <w:t xml:space="preserve"> </w:t>
      </w:r>
      <w:r w:rsidR="00C24706" w:rsidRPr="00621B71">
        <w:rPr>
          <w:sz w:val="22"/>
        </w:rPr>
        <w:t>trgovačko društvo</w:t>
      </w:r>
      <w:r w:rsidR="004A0E0D" w:rsidRPr="00621B71">
        <w:rPr>
          <w:sz w:val="22"/>
        </w:rPr>
        <w:t xml:space="preserve"> </w:t>
      </w:r>
      <w:r w:rsidR="00D367F3" w:rsidRPr="00621B71">
        <w:rPr>
          <w:sz w:val="22"/>
        </w:rPr>
        <w:t xml:space="preserve">Vodovod Dubrovnik d.o.o., Vladimira Nazora 19, Dubrovnik </w:t>
      </w:r>
      <w:r w:rsidR="00D70B64" w:rsidRPr="00621B71">
        <w:rPr>
          <w:sz w:val="22"/>
        </w:rPr>
        <w:t>(u daljnjem tekstu: Investitor)</w:t>
      </w:r>
      <w:r w:rsidRPr="00621B71">
        <w:rPr>
          <w:sz w:val="22"/>
        </w:rPr>
        <w:t>.</w:t>
      </w:r>
    </w:p>
    <w:p w14:paraId="744EE396" w14:textId="77777777" w:rsidR="00C5039F" w:rsidRPr="00621B71" w:rsidRDefault="00C5039F" w:rsidP="0034335E">
      <w:pPr>
        <w:pStyle w:val="t-9-8"/>
        <w:spacing w:before="120" w:beforeAutospacing="0" w:after="120" w:afterAutospacing="0" w:line="276" w:lineRule="auto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621B71">
        <w:rPr>
          <w:rFonts w:eastAsia="Calibri"/>
          <w:b/>
          <w:iCs/>
          <w:sz w:val="22"/>
          <w:szCs w:val="22"/>
          <w:lang w:eastAsia="en-US"/>
        </w:rPr>
        <w:t>IV.</w:t>
      </w:r>
    </w:p>
    <w:p w14:paraId="744EE397" w14:textId="77777777" w:rsidR="00C5039F" w:rsidRPr="00621B71" w:rsidRDefault="00B430A2" w:rsidP="0034335E">
      <w:pPr>
        <w:pStyle w:val="ListParagraph"/>
        <w:autoSpaceDE w:val="0"/>
        <w:autoSpaceDN w:val="0"/>
        <w:adjustRightInd w:val="0"/>
        <w:spacing w:after="120" w:line="276" w:lineRule="auto"/>
        <w:ind w:left="0" w:firstLine="0"/>
        <w:rPr>
          <w:sz w:val="22"/>
        </w:rPr>
      </w:pPr>
      <w:r w:rsidRPr="00621B71">
        <w:rPr>
          <w:sz w:val="22"/>
        </w:rPr>
        <w:t xml:space="preserve">Projekt </w:t>
      </w:r>
      <w:r w:rsidR="000662C6" w:rsidRPr="00621B71">
        <w:rPr>
          <w:sz w:val="22"/>
        </w:rPr>
        <w:t>je javni investicijski projekt</w:t>
      </w:r>
      <w:r w:rsidRPr="00621B71">
        <w:rPr>
          <w:sz w:val="22"/>
        </w:rPr>
        <w:t>.</w:t>
      </w:r>
    </w:p>
    <w:p w14:paraId="744EE398" w14:textId="77777777" w:rsidR="00C5039F" w:rsidRPr="00621B71" w:rsidRDefault="00C5039F" w:rsidP="0034335E">
      <w:pPr>
        <w:pStyle w:val="ListParagraph"/>
        <w:autoSpaceDE w:val="0"/>
        <w:autoSpaceDN w:val="0"/>
        <w:adjustRightInd w:val="0"/>
        <w:spacing w:before="120" w:after="120" w:line="276" w:lineRule="auto"/>
        <w:ind w:left="0" w:firstLine="0"/>
        <w:jc w:val="center"/>
        <w:rPr>
          <w:b/>
          <w:sz w:val="22"/>
        </w:rPr>
      </w:pPr>
      <w:r w:rsidRPr="00621B71">
        <w:rPr>
          <w:b/>
          <w:sz w:val="22"/>
        </w:rPr>
        <w:t>V.</w:t>
      </w:r>
    </w:p>
    <w:p w14:paraId="744EE399" w14:textId="77777777" w:rsidR="00C5039F" w:rsidRPr="00A234C3" w:rsidRDefault="00C5039F" w:rsidP="00D5600E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34C3">
        <w:rPr>
          <w:rFonts w:ascii="Times New Roman" w:hAnsi="Times New Roman" w:cs="Times New Roman"/>
          <w:color w:val="auto"/>
          <w:sz w:val="22"/>
          <w:szCs w:val="22"/>
        </w:rPr>
        <w:t xml:space="preserve">Lokacija </w:t>
      </w:r>
      <w:r w:rsidR="00411D9B" w:rsidRPr="00A234C3">
        <w:rPr>
          <w:rFonts w:ascii="Times New Roman" w:hAnsi="Times New Roman" w:cs="Times New Roman"/>
          <w:color w:val="auto"/>
          <w:sz w:val="22"/>
          <w:szCs w:val="22"/>
        </w:rPr>
        <w:t xml:space="preserve">realizacije </w:t>
      </w:r>
      <w:r w:rsidRPr="00A234C3">
        <w:rPr>
          <w:rFonts w:ascii="Times New Roman" w:hAnsi="Times New Roman" w:cs="Times New Roman"/>
          <w:color w:val="auto"/>
          <w:sz w:val="22"/>
          <w:szCs w:val="22"/>
        </w:rPr>
        <w:t>projekta</w:t>
      </w:r>
      <w:r w:rsidR="00B97809" w:rsidRPr="00A234C3">
        <w:rPr>
          <w:rFonts w:ascii="Times New Roman" w:hAnsi="Times New Roman" w:cs="Times New Roman"/>
          <w:color w:val="auto"/>
          <w:sz w:val="22"/>
          <w:szCs w:val="22"/>
        </w:rPr>
        <w:t xml:space="preserve"> je</w:t>
      </w:r>
      <w:r w:rsidR="00D367F3" w:rsidRPr="00A234C3">
        <w:rPr>
          <w:rFonts w:ascii="Times New Roman" w:hAnsi="Times New Roman" w:cs="Times New Roman"/>
          <w:sz w:val="22"/>
          <w:szCs w:val="22"/>
          <w:lang w:eastAsia="sl-SI"/>
        </w:rPr>
        <w:t xml:space="preserve"> </w:t>
      </w:r>
      <w:r w:rsidR="00A234C3" w:rsidRPr="00A234C3">
        <w:rPr>
          <w:rFonts w:ascii="Times New Roman" w:hAnsi="Times New Roman" w:cs="Times New Roman"/>
          <w:sz w:val="22"/>
          <w:szCs w:val="22"/>
        </w:rPr>
        <w:t>Grad Dubrovnik i Općina Dubrovačko Primorje u Dubrovačko-neretvanskoj županiji</w:t>
      </w:r>
      <w:r w:rsidR="00B430A2" w:rsidRPr="00A234C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44EE39A" w14:textId="77777777" w:rsidR="009C07C1" w:rsidRPr="00621B71" w:rsidRDefault="009C07C1" w:rsidP="0034335E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21B71">
        <w:rPr>
          <w:rFonts w:ascii="Times New Roman" w:hAnsi="Times New Roman" w:cs="Times New Roman"/>
          <w:b/>
          <w:color w:val="auto"/>
          <w:sz w:val="22"/>
          <w:szCs w:val="22"/>
        </w:rPr>
        <w:t>VI.</w:t>
      </w:r>
    </w:p>
    <w:p w14:paraId="744EE39B" w14:textId="77777777" w:rsidR="00D367F3" w:rsidRPr="00621B71" w:rsidRDefault="009C07C1" w:rsidP="0094707B">
      <w:pPr>
        <w:pStyle w:val="ListParagraph"/>
        <w:spacing w:after="120" w:line="276" w:lineRule="auto"/>
        <w:ind w:left="0" w:firstLine="0"/>
        <w:rPr>
          <w:sz w:val="22"/>
        </w:rPr>
      </w:pPr>
      <w:r w:rsidRPr="00621B71">
        <w:rPr>
          <w:sz w:val="22"/>
        </w:rPr>
        <w:t>Proje</w:t>
      </w:r>
      <w:r w:rsidR="00BB1CD7" w:rsidRPr="00621B71">
        <w:rPr>
          <w:sz w:val="22"/>
        </w:rPr>
        <w:t xml:space="preserve">kt se odnosi na </w:t>
      </w:r>
      <w:r w:rsidR="00D367F3" w:rsidRPr="00621B71">
        <w:rPr>
          <w:sz w:val="22"/>
        </w:rPr>
        <w:t>izgradnju uređaja za pripremu pitke vode (UPPV) ''</w:t>
      </w:r>
      <w:proofErr w:type="spellStart"/>
      <w:r w:rsidR="00D367F3" w:rsidRPr="00621B71">
        <w:rPr>
          <w:sz w:val="22"/>
        </w:rPr>
        <w:t>Ombla</w:t>
      </w:r>
      <w:proofErr w:type="spellEnd"/>
      <w:r w:rsidR="00D367F3" w:rsidRPr="00621B71">
        <w:rPr>
          <w:sz w:val="22"/>
        </w:rPr>
        <w:t>'' izgradnju i rekonstrukcij</w:t>
      </w:r>
      <w:r w:rsidR="00B90981" w:rsidRPr="00621B71">
        <w:rPr>
          <w:sz w:val="22"/>
        </w:rPr>
        <w:t>u</w:t>
      </w:r>
      <w:r w:rsidR="00D367F3" w:rsidRPr="00621B71">
        <w:rPr>
          <w:sz w:val="22"/>
        </w:rPr>
        <w:t xml:space="preserve"> sustava vodoopskrbe; izgradnju i rekonstrukciju sustava odvodnje otpadnih voda; izgradnju uređaja za pročišćavanje otpadnih voda (UPOV) ''</w:t>
      </w:r>
      <w:proofErr w:type="spellStart"/>
      <w:r w:rsidR="00D367F3" w:rsidRPr="00621B71">
        <w:rPr>
          <w:sz w:val="22"/>
        </w:rPr>
        <w:t>Lapad</w:t>
      </w:r>
      <w:proofErr w:type="spellEnd"/>
      <w:r w:rsidR="00D367F3" w:rsidRPr="00621B71">
        <w:rPr>
          <w:sz w:val="22"/>
        </w:rPr>
        <w:t>'', kapaciteta 73.000 ES (ekvivalent stanovnika), II. stupnja pročišćavanja sa rekonstrukcijom podmorskog ispusta, izgradnju postrojenja za obradu mulja, te nabavu opreme za održavanje izgrađenih objekata.</w:t>
      </w:r>
    </w:p>
    <w:p w14:paraId="744EE39C" w14:textId="77777777" w:rsidR="00B90981" w:rsidRPr="00621B71" w:rsidRDefault="00D367F3" w:rsidP="0094707B">
      <w:pPr>
        <w:pStyle w:val="ListParagraph"/>
        <w:spacing w:after="120" w:line="276" w:lineRule="auto"/>
        <w:ind w:left="0" w:firstLine="0"/>
        <w:rPr>
          <w:sz w:val="22"/>
        </w:rPr>
      </w:pPr>
      <w:r w:rsidRPr="00621B71">
        <w:rPr>
          <w:sz w:val="22"/>
        </w:rPr>
        <w:t xml:space="preserve">Realizacijom ovog Projekta, dodatnih 1156 stanovnika imati će omogućen pristup javnom sustavu vodoopskrbe, dok će se priključenost na javni sustav odvodnje i pročišćavanja povećati za 4.510 ES (ekvivalent stanovnika) čime će se priključenost </w:t>
      </w:r>
      <w:r w:rsidR="00B90981" w:rsidRPr="00621B71">
        <w:rPr>
          <w:sz w:val="22"/>
        </w:rPr>
        <w:t>n</w:t>
      </w:r>
      <w:r w:rsidRPr="00621B71">
        <w:rPr>
          <w:sz w:val="22"/>
        </w:rPr>
        <w:t xml:space="preserve">a javni sustav odvodnje povećati sa 87% na 92%.  </w:t>
      </w:r>
    </w:p>
    <w:p w14:paraId="744EE39E" w14:textId="70375752" w:rsidR="00D367F3" w:rsidRPr="00621B71" w:rsidRDefault="00D367F3" w:rsidP="00B27AF0">
      <w:pPr>
        <w:pStyle w:val="ListParagraph"/>
        <w:spacing w:after="120" w:line="276" w:lineRule="auto"/>
        <w:ind w:left="0" w:firstLine="0"/>
        <w:rPr>
          <w:sz w:val="22"/>
        </w:rPr>
      </w:pPr>
      <w:r w:rsidRPr="00621B71">
        <w:rPr>
          <w:sz w:val="22"/>
        </w:rPr>
        <w:t>Cilj ovog Projekta je omogućiti razvoj i poboljšanje standarda pružanja vodnih usluga na području aglomeracije Dubrovnik.</w:t>
      </w:r>
    </w:p>
    <w:p w14:paraId="744EE39F" w14:textId="77777777" w:rsidR="00C5039F" w:rsidRPr="00621B71" w:rsidRDefault="00C5039F" w:rsidP="0034335E">
      <w:pPr>
        <w:pStyle w:val="ListParagraph"/>
        <w:autoSpaceDE w:val="0"/>
        <w:autoSpaceDN w:val="0"/>
        <w:adjustRightInd w:val="0"/>
        <w:spacing w:before="120" w:after="120" w:line="276" w:lineRule="auto"/>
        <w:ind w:left="0" w:firstLine="0"/>
        <w:jc w:val="center"/>
        <w:rPr>
          <w:b/>
          <w:sz w:val="22"/>
        </w:rPr>
      </w:pPr>
      <w:r w:rsidRPr="00621B71">
        <w:rPr>
          <w:b/>
          <w:sz w:val="22"/>
        </w:rPr>
        <w:t>VII.</w:t>
      </w:r>
    </w:p>
    <w:p w14:paraId="744EE3A0" w14:textId="77777777" w:rsidR="005C284E" w:rsidRPr="00621B71" w:rsidRDefault="000229E4" w:rsidP="0034335E">
      <w:pPr>
        <w:pStyle w:val="ListParagraph"/>
        <w:autoSpaceDE w:val="0"/>
        <w:autoSpaceDN w:val="0"/>
        <w:adjustRightInd w:val="0"/>
        <w:spacing w:line="276" w:lineRule="auto"/>
        <w:ind w:left="0" w:firstLine="0"/>
        <w:contextualSpacing w:val="0"/>
        <w:rPr>
          <w:sz w:val="22"/>
        </w:rPr>
      </w:pPr>
      <w:r w:rsidRPr="00621B71">
        <w:rPr>
          <w:sz w:val="22"/>
        </w:rPr>
        <w:t>Projekt i</w:t>
      </w:r>
      <w:r w:rsidR="005C284E" w:rsidRPr="00621B71">
        <w:rPr>
          <w:sz w:val="22"/>
        </w:rPr>
        <w:t>spunjava uvjete propisane Zakonom o strateškim investicijskim projektima Republike Hrvatske, zbog sljedećih činjenica:</w:t>
      </w:r>
    </w:p>
    <w:p w14:paraId="744EE3A1" w14:textId="77777777" w:rsidR="00AC44F1" w:rsidRPr="00621B71" w:rsidRDefault="00AC44F1" w:rsidP="00EC7C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</w:rPr>
      </w:pPr>
      <w:r w:rsidRPr="00621B71">
        <w:rPr>
          <w:sz w:val="22"/>
        </w:rPr>
        <w:t xml:space="preserve">u skladu je s dokumentima prostornog uređenja </w:t>
      </w:r>
    </w:p>
    <w:p w14:paraId="744EE3A2" w14:textId="77777777" w:rsidR="009660B1" w:rsidRPr="00621B71" w:rsidRDefault="009660B1" w:rsidP="00EC7C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</w:rPr>
      </w:pPr>
      <w:r w:rsidRPr="00621B71">
        <w:rPr>
          <w:sz w:val="22"/>
        </w:rPr>
        <w:lastRenderedPageBreak/>
        <w:t>procijenjena vrijednost projekta je veća od 75.000.000,00 kuna i ima mogućnost financiranja iz fondova i programa Europske unije</w:t>
      </w:r>
    </w:p>
    <w:p w14:paraId="744EE3A3" w14:textId="77777777" w:rsidR="00B748EB" w:rsidRPr="00621B71" w:rsidRDefault="009660B1" w:rsidP="00EC7C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</w:rPr>
      </w:pPr>
      <w:r w:rsidRPr="00621B71">
        <w:rPr>
          <w:sz w:val="22"/>
        </w:rPr>
        <w:t>znatno doprinosi postizanju većeg standarda isporuke i dostupnosti vodnih usluga</w:t>
      </w:r>
    </w:p>
    <w:p w14:paraId="744EE3A4" w14:textId="77777777" w:rsidR="009660B1" w:rsidRPr="00621B71" w:rsidRDefault="009660B1" w:rsidP="00EC7C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</w:rPr>
      </w:pPr>
      <w:r w:rsidRPr="00621B71">
        <w:rPr>
          <w:sz w:val="22"/>
        </w:rPr>
        <w:t>podiže ukupnu razinu sigurnosti i kvalitete života građana na području jedinica lokalne samouprave na čijem se području provodi Projekt</w:t>
      </w:r>
      <w:r w:rsidR="00B56FF9" w:rsidRPr="00621B71">
        <w:rPr>
          <w:sz w:val="22"/>
        </w:rPr>
        <w:t>,</w:t>
      </w:r>
      <w:r w:rsidR="00B74D71" w:rsidRPr="00621B71">
        <w:rPr>
          <w:sz w:val="22"/>
        </w:rPr>
        <w:t xml:space="preserve"> i</w:t>
      </w:r>
    </w:p>
    <w:p w14:paraId="744EE3A5" w14:textId="77777777" w:rsidR="00AC44F1" w:rsidRDefault="00AC44F1" w:rsidP="00EC7C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rPr>
          <w:sz w:val="22"/>
        </w:rPr>
      </w:pPr>
      <w:r w:rsidRPr="00621B71">
        <w:rPr>
          <w:sz w:val="22"/>
        </w:rPr>
        <w:t xml:space="preserve">stvara uvjete za </w:t>
      </w:r>
      <w:r w:rsidR="009660B1" w:rsidRPr="00621B71">
        <w:rPr>
          <w:sz w:val="22"/>
        </w:rPr>
        <w:t>zapošljavanje većeg broja ljudi.</w:t>
      </w:r>
    </w:p>
    <w:p w14:paraId="744EE3A6" w14:textId="77777777" w:rsidR="00FD0606" w:rsidRPr="00621B71" w:rsidRDefault="006973EC" w:rsidP="00D82181">
      <w:pPr>
        <w:autoSpaceDE w:val="0"/>
        <w:autoSpaceDN w:val="0"/>
        <w:adjustRightInd w:val="0"/>
        <w:spacing w:before="120" w:after="120" w:line="276" w:lineRule="auto"/>
        <w:ind w:left="0" w:firstLine="0"/>
        <w:jc w:val="center"/>
        <w:rPr>
          <w:b/>
          <w:sz w:val="22"/>
        </w:rPr>
      </w:pPr>
      <w:r w:rsidRPr="00621B71">
        <w:rPr>
          <w:b/>
          <w:sz w:val="22"/>
        </w:rPr>
        <w:t>VIII.</w:t>
      </w:r>
    </w:p>
    <w:p w14:paraId="744EE3A7" w14:textId="77777777" w:rsidR="00306B3C" w:rsidRPr="00E27CB5" w:rsidRDefault="009C326D" w:rsidP="00A61438">
      <w:pPr>
        <w:pStyle w:val="ListParagraph"/>
        <w:spacing w:after="240" w:line="276" w:lineRule="auto"/>
        <w:ind w:left="0" w:firstLine="0"/>
        <w:rPr>
          <w:sz w:val="22"/>
        </w:rPr>
      </w:pPr>
      <w:r w:rsidRPr="00E27CB5">
        <w:rPr>
          <w:sz w:val="22"/>
        </w:rPr>
        <w:t>Za realizaciju Projekta potrebno je prov</w:t>
      </w:r>
      <w:r w:rsidR="000D6865" w:rsidRPr="00E27CB5">
        <w:rPr>
          <w:sz w:val="22"/>
        </w:rPr>
        <w:t>esti sl</w:t>
      </w:r>
      <w:r w:rsidR="009B38E1" w:rsidRPr="00E27CB5">
        <w:rPr>
          <w:sz w:val="22"/>
        </w:rPr>
        <w:t>jedeće</w:t>
      </w:r>
      <w:r w:rsidRPr="00E27CB5">
        <w:rPr>
          <w:sz w:val="22"/>
        </w:rPr>
        <w:t xml:space="preserve"> osnovn</w:t>
      </w:r>
      <w:r w:rsidR="009B38E1" w:rsidRPr="00E27CB5">
        <w:rPr>
          <w:sz w:val="22"/>
        </w:rPr>
        <w:t>e</w:t>
      </w:r>
      <w:r w:rsidRPr="00E27CB5">
        <w:rPr>
          <w:sz w:val="22"/>
        </w:rPr>
        <w:t xml:space="preserve"> postupk</w:t>
      </w:r>
      <w:r w:rsidR="009B38E1" w:rsidRPr="00E27CB5">
        <w:rPr>
          <w:sz w:val="22"/>
        </w:rPr>
        <w:t>e</w:t>
      </w:r>
      <w:r w:rsidRPr="00E27CB5">
        <w:rPr>
          <w:sz w:val="22"/>
        </w:rPr>
        <w:t xml:space="preserve"> i radnj</w:t>
      </w:r>
      <w:r w:rsidR="009B38E1" w:rsidRPr="00E27CB5">
        <w:rPr>
          <w:sz w:val="22"/>
        </w:rPr>
        <w:t>e</w:t>
      </w:r>
      <w:r w:rsidRPr="00E27CB5">
        <w:rPr>
          <w:sz w:val="22"/>
        </w:rPr>
        <w:t>:</w:t>
      </w:r>
    </w:p>
    <w:p w14:paraId="744EE3A8" w14:textId="77777777" w:rsidR="00B90981" w:rsidRPr="00E27CB5" w:rsidRDefault="00B90981" w:rsidP="00B90981">
      <w:pPr>
        <w:numPr>
          <w:ilvl w:val="0"/>
          <w:numId w:val="2"/>
        </w:numPr>
        <w:rPr>
          <w:sz w:val="22"/>
        </w:rPr>
      </w:pPr>
      <w:r w:rsidRPr="00E27CB5">
        <w:rPr>
          <w:sz w:val="22"/>
        </w:rPr>
        <w:t>rješavanje imovinsko pravnih odnosa na česticama na kojima je planirana izgradnja i/ili polaganje vodno-komunalne infrastrukture koje su u vlasništvu ili pod upravljanjem javnopravnih tijela</w:t>
      </w:r>
    </w:p>
    <w:p w14:paraId="744EE3A9" w14:textId="77777777" w:rsidR="00B90981" w:rsidRPr="00E27CB5" w:rsidRDefault="00B90981" w:rsidP="00B90981">
      <w:pPr>
        <w:ind w:left="720" w:firstLine="0"/>
        <w:rPr>
          <w:sz w:val="22"/>
        </w:rPr>
      </w:pPr>
    </w:p>
    <w:p w14:paraId="744EE3AA" w14:textId="77777777" w:rsidR="00B90981" w:rsidRPr="0001491E" w:rsidRDefault="00B90981" w:rsidP="00B90981">
      <w:pPr>
        <w:numPr>
          <w:ilvl w:val="0"/>
          <w:numId w:val="2"/>
        </w:numPr>
        <w:rPr>
          <w:sz w:val="22"/>
        </w:rPr>
      </w:pPr>
      <w:r w:rsidRPr="0001491E">
        <w:rPr>
          <w:sz w:val="22"/>
        </w:rPr>
        <w:t xml:space="preserve">ishođenje rješenja Ministarstva zaštite okoliša i energetike </w:t>
      </w:r>
      <w:r w:rsidRPr="0001491E">
        <w:rPr>
          <w:bCs/>
          <w:sz w:val="22"/>
        </w:rPr>
        <w:t>da je planirani zahvat prihvatljiv za okoliš i  ekološku mrežu</w:t>
      </w:r>
    </w:p>
    <w:p w14:paraId="744EE3AB" w14:textId="77777777" w:rsidR="00DB44AF" w:rsidRPr="0001491E" w:rsidRDefault="00DB44AF" w:rsidP="00DB44AF">
      <w:pPr>
        <w:pStyle w:val="ListParagraph"/>
        <w:rPr>
          <w:sz w:val="22"/>
        </w:rPr>
      </w:pPr>
    </w:p>
    <w:p w14:paraId="744EE3AC" w14:textId="77777777" w:rsidR="00B90981" w:rsidRPr="0001491E" w:rsidRDefault="00DB44AF" w:rsidP="00B90981">
      <w:pPr>
        <w:numPr>
          <w:ilvl w:val="0"/>
          <w:numId w:val="2"/>
        </w:numPr>
        <w:rPr>
          <w:sz w:val="22"/>
        </w:rPr>
      </w:pPr>
      <w:r w:rsidRPr="0001491E">
        <w:rPr>
          <w:sz w:val="22"/>
        </w:rPr>
        <w:t>i</w:t>
      </w:r>
      <w:r w:rsidR="00B90981" w:rsidRPr="0001491E">
        <w:rPr>
          <w:sz w:val="22"/>
        </w:rPr>
        <w:t>shođenje  5 lokacijskih dozvola</w:t>
      </w:r>
      <w:r w:rsidR="0001491E" w:rsidRPr="0001491E">
        <w:rPr>
          <w:sz w:val="22"/>
        </w:rPr>
        <w:t>,</w:t>
      </w:r>
      <w:r w:rsidR="0001491E" w:rsidRPr="0001491E">
        <w:rPr>
          <w:rFonts w:eastAsia="Times New Roman"/>
          <w:bCs/>
          <w:sz w:val="22"/>
        </w:rPr>
        <w:t xml:space="preserve"> sukladno Zakonu o prostornom uređenju („Narodne novine“ broj 153/13 i 65/17)</w:t>
      </w:r>
    </w:p>
    <w:p w14:paraId="744EE3AD" w14:textId="77777777" w:rsidR="00DB44AF" w:rsidRPr="0001491E" w:rsidRDefault="00DB44AF" w:rsidP="00DB44AF">
      <w:pPr>
        <w:ind w:left="0" w:firstLine="0"/>
        <w:rPr>
          <w:sz w:val="22"/>
        </w:rPr>
      </w:pPr>
    </w:p>
    <w:p w14:paraId="744EE3AE" w14:textId="77777777" w:rsidR="00DB44AF" w:rsidRPr="0001491E" w:rsidRDefault="00DB44AF" w:rsidP="00B90981">
      <w:pPr>
        <w:numPr>
          <w:ilvl w:val="0"/>
          <w:numId w:val="2"/>
        </w:numPr>
        <w:rPr>
          <w:sz w:val="22"/>
        </w:rPr>
      </w:pPr>
      <w:r w:rsidRPr="0001491E">
        <w:rPr>
          <w:sz w:val="22"/>
        </w:rPr>
        <w:t>i</w:t>
      </w:r>
      <w:r w:rsidR="00B90981" w:rsidRPr="0001491E">
        <w:rPr>
          <w:sz w:val="22"/>
        </w:rPr>
        <w:t>shođenje 6 građevinskih dozvola</w:t>
      </w:r>
      <w:r w:rsidR="0001491E" w:rsidRPr="0001491E">
        <w:rPr>
          <w:sz w:val="22"/>
        </w:rPr>
        <w:t>,</w:t>
      </w:r>
      <w:r w:rsidR="0001491E" w:rsidRPr="0001491E">
        <w:rPr>
          <w:rFonts w:eastAsia="Times New Roman"/>
          <w:bCs/>
          <w:sz w:val="22"/>
        </w:rPr>
        <w:t xml:space="preserve"> sukladno Zakonu o gradnji („Narodne novine“ br</w:t>
      </w:r>
      <w:r w:rsidR="00D447ED">
        <w:rPr>
          <w:rFonts w:eastAsia="Times New Roman"/>
          <w:bCs/>
          <w:sz w:val="22"/>
        </w:rPr>
        <w:t>oj</w:t>
      </w:r>
      <w:r w:rsidR="0001491E" w:rsidRPr="0001491E">
        <w:rPr>
          <w:rFonts w:eastAsia="Times New Roman"/>
          <w:bCs/>
          <w:sz w:val="22"/>
        </w:rPr>
        <w:t xml:space="preserve"> 153/13 i 20/17)</w:t>
      </w:r>
    </w:p>
    <w:p w14:paraId="744EE3AF" w14:textId="77777777" w:rsidR="00B90981" w:rsidRPr="0001491E" w:rsidRDefault="00B90981" w:rsidP="00DB44AF">
      <w:pPr>
        <w:ind w:left="0" w:firstLine="0"/>
        <w:rPr>
          <w:sz w:val="22"/>
        </w:rPr>
      </w:pPr>
      <w:r w:rsidRPr="0001491E">
        <w:rPr>
          <w:sz w:val="22"/>
        </w:rPr>
        <w:t xml:space="preserve"> </w:t>
      </w:r>
    </w:p>
    <w:p w14:paraId="744EE3B0" w14:textId="77777777" w:rsidR="00B90981" w:rsidRPr="0001491E" w:rsidRDefault="00DB44AF" w:rsidP="00B90981">
      <w:pPr>
        <w:numPr>
          <w:ilvl w:val="0"/>
          <w:numId w:val="2"/>
        </w:numPr>
        <w:rPr>
          <w:sz w:val="22"/>
        </w:rPr>
      </w:pPr>
      <w:r w:rsidRPr="0001491E">
        <w:rPr>
          <w:sz w:val="22"/>
        </w:rPr>
        <w:t>i</w:t>
      </w:r>
      <w:r w:rsidR="00B90981" w:rsidRPr="0001491E">
        <w:rPr>
          <w:sz w:val="22"/>
        </w:rPr>
        <w:t>shođenje rješenja o potpunom odnosno nepotpunom izvlaštenju sukladno Zakonu o izvlaštenju i određivanju naknade (</w:t>
      </w:r>
      <w:r w:rsidR="00621B71" w:rsidRPr="0001491E">
        <w:rPr>
          <w:sz w:val="22"/>
        </w:rPr>
        <w:t>„</w:t>
      </w:r>
      <w:r w:rsidR="00B90981" w:rsidRPr="0001491E">
        <w:rPr>
          <w:sz w:val="22"/>
        </w:rPr>
        <w:t>Narodne novine</w:t>
      </w:r>
      <w:r w:rsidR="00621B71" w:rsidRPr="0001491E">
        <w:rPr>
          <w:sz w:val="22"/>
        </w:rPr>
        <w:t>“</w:t>
      </w:r>
      <w:r w:rsidR="00B90981" w:rsidRPr="0001491E">
        <w:rPr>
          <w:sz w:val="22"/>
        </w:rPr>
        <w:t>, broj 74/14</w:t>
      </w:r>
      <w:r w:rsidR="00621B71" w:rsidRPr="0001491E">
        <w:rPr>
          <w:sz w:val="22"/>
        </w:rPr>
        <w:t xml:space="preserve"> i 69/17</w:t>
      </w:r>
      <w:r w:rsidR="00B90981" w:rsidRPr="0001491E">
        <w:rPr>
          <w:sz w:val="22"/>
        </w:rPr>
        <w:t>) za zemljišne čestice za koje je investitor podnio uredan zahtjev</w:t>
      </w:r>
    </w:p>
    <w:p w14:paraId="744EE3B1" w14:textId="77777777" w:rsidR="00621B71" w:rsidRPr="0001491E" w:rsidRDefault="00621B71" w:rsidP="00621B71">
      <w:pPr>
        <w:ind w:left="0" w:firstLine="0"/>
        <w:rPr>
          <w:sz w:val="22"/>
        </w:rPr>
      </w:pPr>
    </w:p>
    <w:p w14:paraId="744EE3B2" w14:textId="77777777" w:rsidR="00B90981" w:rsidRPr="0001491E" w:rsidRDefault="00621B71" w:rsidP="00B90981">
      <w:pPr>
        <w:numPr>
          <w:ilvl w:val="0"/>
          <w:numId w:val="3"/>
        </w:numPr>
        <w:rPr>
          <w:sz w:val="22"/>
        </w:rPr>
      </w:pPr>
      <w:r w:rsidRPr="0001491E">
        <w:rPr>
          <w:sz w:val="22"/>
        </w:rPr>
        <w:t>i</w:t>
      </w:r>
      <w:r w:rsidR="00B90981" w:rsidRPr="0001491E">
        <w:rPr>
          <w:sz w:val="22"/>
        </w:rPr>
        <w:t xml:space="preserve">shođenje građevinske dozvole za izgradnju uređaja za pročišćavanje komunalnih otpadnih voda (UPOV)-a </w:t>
      </w:r>
      <w:proofErr w:type="spellStart"/>
      <w:r w:rsidR="00B90981" w:rsidRPr="0001491E">
        <w:rPr>
          <w:sz w:val="22"/>
        </w:rPr>
        <w:t>Lapad</w:t>
      </w:r>
      <w:proofErr w:type="spellEnd"/>
      <w:r w:rsidR="00B90981" w:rsidRPr="0001491E">
        <w:rPr>
          <w:sz w:val="22"/>
        </w:rPr>
        <w:t xml:space="preserve"> II. stupnja pročišćavanja, kapaciteta 73.000 ES-a (ekvivalent stanovnika)</w:t>
      </w:r>
      <w:r w:rsidR="00B90981" w:rsidRPr="0001491E">
        <w:rPr>
          <w:bCs/>
          <w:sz w:val="22"/>
        </w:rPr>
        <w:t>,</w:t>
      </w:r>
      <w:r w:rsidR="00B90981" w:rsidRPr="0001491E">
        <w:rPr>
          <w:sz w:val="22"/>
        </w:rPr>
        <w:t xml:space="preserve"> </w:t>
      </w:r>
      <w:r w:rsidRPr="0001491E">
        <w:rPr>
          <w:sz w:val="22"/>
        </w:rPr>
        <w:t xml:space="preserve">ugovaranje po „FIDIC-žutoj knjizi“  </w:t>
      </w:r>
      <w:r w:rsidR="00B90981" w:rsidRPr="0001491E">
        <w:rPr>
          <w:sz w:val="22"/>
        </w:rPr>
        <w:t>sukladno Zakonu o gradnji</w:t>
      </w:r>
    </w:p>
    <w:p w14:paraId="744EE3B3" w14:textId="77777777" w:rsidR="00621B71" w:rsidRPr="0001491E" w:rsidRDefault="00621B71" w:rsidP="00621B71">
      <w:pPr>
        <w:ind w:left="720" w:firstLine="0"/>
        <w:rPr>
          <w:sz w:val="22"/>
        </w:rPr>
      </w:pPr>
    </w:p>
    <w:p w14:paraId="744EE3B4" w14:textId="77777777" w:rsidR="00B90981" w:rsidRPr="0001491E" w:rsidRDefault="00621B71" w:rsidP="00B90981">
      <w:pPr>
        <w:numPr>
          <w:ilvl w:val="0"/>
          <w:numId w:val="3"/>
        </w:numPr>
        <w:rPr>
          <w:sz w:val="22"/>
        </w:rPr>
      </w:pPr>
      <w:r w:rsidRPr="0001491E">
        <w:rPr>
          <w:sz w:val="22"/>
        </w:rPr>
        <w:t>i</w:t>
      </w:r>
      <w:r w:rsidR="00B90981" w:rsidRPr="0001491E">
        <w:rPr>
          <w:sz w:val="22"/>
        </w:rPr>
        <w:t xml:space="preserve">shođenje građevinske dozvole za izgradnju postrojenja za solarno sušenje mulja po </w:t>
      </w:r>
      <w:r w:rsidRPr="0001491E">
        <w:rPr>
          <w:sz w:val="22"/>
        </w:rPr>
        <w:t>„</w:t>
      </w:r>
      <w:r w:rsidR="00B90981" w:rsidRPr="0001491E">
        <w:rPr>
          <w:sz w:val="22"/>
        </w:rPr>
        <w:t>FIDIC</w:t>
      </w:r>
      <w:r w:rsidRPr="0001491E">
        <w:rPr>
          <w:sz w:val="22"/>
        </w:rPr>
        <w:t>-</w:t>
      </w:r>
      <w:r w:rsidR="00B90981" w:rsidRPr="0001491E">
        <w:rPr>
          <w:sz w:val="22"/>
        </w:rPr>
        <w:t>žutoj knjizi</w:t>
      </w:r>
      <w:r w:rsidRPr="0001491E">
        <w:rPr>
          <w:sz w:val="22"/>
        </w:rPr>
        <w:t>“</w:t>
      </w:r>
      <w:r w:rsidR="00B90981" w:rsidRPr="0001491E">
        <w:rPr>
          <w:sz w:val="22"/>
        </w:rPr>
        <w:t xml:space="preserve"> sukladno Zakonu o gradnji</w:t>
      </w:r>
    </w:p>
    <w:p w14:paraId="744EE3B5" w14:textId="77777777" w:rsidR="00621B71" w:rsidRPr="0001491E" w:rsidRDefault="00621B71" w:rsidP="00621B71">
      <w:pPr>
        <w:ind w:left="0" w:firstLine="0"/>
        <w:rPr>
          <w:sz w:val="22"/>
        </w:rPr>
      </w:pPr>
    </w:p>
    <w:p w14:paraId="744EE3B6" w14:textId="77777777" w:rsidR="00B90981" w:rsidRPr="0001491E" w:rsidRDefault="00621B71" w:rsidP="00B90981">
      <w:pPr>
        <w:numPr>
          <w:ilvl w:val="0"/>
          <w:numId w:val="3"/>
        </w:numPr>
        <w:rPr>
          <w:sz w:val="22"/>
        </w:rPr>
      </w:pPr>
      <w:r w:rsidRPr="0001491E">
        <w:rPr>
          <w:sz w:val="22"/>
        </w:rPr>
        <w:t>i</w:t>
      </w:r>
      <w:r w:rsidR="00B90981" w:rsidRPr="0001491E">
        <w:rPr>
          <w:sz w:val="22"/>
        </w:rPr>
        <w:t>shođenje uporabnih dozvola, sukladno Zakonu o gradnji.</w:t>
      </w:r>
    </w:p>
    <w:p w14:paraId="744EE3B7" w14:textId="77777777" w:rsidR="00B4754E" w:rsidRPr="00E27CB5" w:rsidRDefault="00B4754E" w:rsidP="00B4754E">
      <w:pPr>
        <w:spacing w:after="120" w:line="276" w:lineRule="auto"/>
        <w:rPr>
          <w:sz w:val="22"/>
        </w:rPr>
      </w:pPr>
    </w:p>
    <w:p w14:paraId="744EE3B8" w14:textId="77777777" w:rsidR="009C326D" w:rsidRPr="00E27CB5" w:rsidRDefault="008952CD" w:rsidP="0034335E">
      <w:pPr>
        <w:spacing w:after="120" w:line="276" w:lineRule="auto"/>
        <w:ind w:left="0" w:firstLine="0"/>
        <w:rPr>
          <w:sz w:val="22"/>
        </w:rPr>
      </w:pPr>
      <w:r w:rsidRPr="00E27CB5">
        <w:rPr>
          <w:sz w:val="22"/>
        </w:rPr>
        <w:t>Cj</w:t>
      </w:r>
      <w:r w:rsidR="009C326D" w:rsidRPr="00E27CB5">
        <w:rPr>
          <w:sz w:val="22"/>
        </w:rPr>
        <w:t xml:space="preserve">eloviti pregled upravnih i drugih postupaka i radnji potrebnih za pripremu i provedbu Projekta </w:t>
      </w:r>
      <w:r w:rsidR="009B38E1" w:rsidRPr="00E27CB5">
        <w:rPr>
          <w:sz w:val="22"/>
        </w:rPr>
        <w:t xml:space="preserve"> </w:t>
      </w:r>
      <w:r w:rsidR="009C326D" w:rsidRPr="00E27CB5">
        <w:rPr>
          <w:sz w:val="22"/>
        </w:rPr>
        <w:t>(hodogram aktivnosti)</w:t>
      </w:r>
      <w:r w:rsidR="009B38E1" w:rsidRPr="00E27CB5">
        <w:rPr>
          <w:sz w:val="22"/>
        </w:rPr>
        <w:t xml:space="preserve"> obuhvaća</w:t>
      </w:r>
      <w:r w:rsidR="009C326D" w:rsidRPr="00E27CB5">
        <w:rPr>
          <w:sz w:val="22"/>
        </w:rPr>
        <w:t>:</w:t>
      </w:r>
    </w:p>
    <w:p w14:paraId="744EE3B9" w14:textId="77777777" w:rsidR="00621B71" w:rsidRPr="00E27CB5" w:rsidRDefault="00587304" w:rsidP="00621B71">
      <w:pPr>
        <w:numPr>
          <w:ilvl w:val="0"/>
          <w:numId w:val="4"/>
        </w:numPr>
        <w:rPr>
          <w:sz w:val="22"/>
        </w:rPr>
      </w:pPr>
      <w:r w:rsidRPr="00E27CB5">
        <w:rPr>
          <w:rFonts w:eastAsiaTheme="minorHAnsi"/>
          <w:sz w:val="22"/>
        </w:rPr>
        <w:t>p</w:t>
      </w:r>
      <w:r w:rsidR="00621B71" w:rsidRPr="00E27CB5">
        <w:rPr>
          <w:rFonts w:eastAsiaTheme="minorHAnsi"/>
          <w:sz w:val="22"/>
        </w:rPr>
        <w:t>rovedba postupka procjene utjecaja na okoliš sustava javne vodoopskrbe, odvodnje i pročišćavanja otpadnih voda aglomeracije Dubrovnik</w:t>
      </w:r>
    </w:p>
    <w:p w14:paraId="744EE3BA" w14:textId="77777777" w:rsidR="00621B71" w:rsidRPr="00E27CB5" w:rsidRDefault="00621B71" w:rsidP="00587304">
      <w:pPr>
        <w:pStyle w:val="ListParagraph"/>
        <w:ind w:hanging="11"/>
        <w:rPr>
          <w:sz w:val="22"/>
        </w:rPr>
      </w:pPr>
      <w:r w:rsidRPr="00E27CB5">
        <w:rPr>
          <w:sz w:val="22"/>
        </w:rPr>
        <w:t xml:space="preserve">Nositelj obveze: Investitor i </w:t>
      </w:r>
      <w:r w:rsidR="00A234C3" w:rsidRPr="00B86EDD">
        <w:rPr>
          <w:szCs w:val="24"/>
        </w:rPr>
        <w:t>Ministarstvo zaštite okoliša i energetike</w:t>
      </w:r>
      <w:r w:rsidR="00A234C3" w:rsidRPr="00E27CB5">
        <w:rPr>
          <w:sz w:val="22"/>
        </w:rPr>
        <w:t xml:space="preserve"> </w:t>
      </w:r>
    </w:p>
    <w:p w14:paraId="744EE3BB" w14:textId="77777777" w:rsidR="00621B71" w:rsidRPr="00E27CB5" w:rsidRDefault="00621B71" w:rsidP="00A234C3">
      <w:pPr>
        <w:ind w:left="720"/>
        <w:rPr>
          <w:sz w:val="22"/>
        </w:rPr>
      </w:pPr>
    </w:p>
    <w:p w14:paraId="744EE3BC" w14:textId="77777777" w:rsidR="00621B71" w:rsidRPr="0001491E" w:rsidRDefault="00587304" w:rsidP="00621B71">
      <w:pPr>
        <w:numPr>
          <w:ilvl w:val="0"/>
          <w:numId w:val="4"/>
        </w:numPr>
        <w:rPr>
          <w:sz w:val="22"/>
        </w:rPr>
      </w:pPr>
      <w:r w:rsidRPr="0001491E">
        <w:rPr>
          <w:sz w:val="22"/>
        </w:rPr>
        <w:t>o</w:t>
      </w:r>
      <w:r w:rsidR="00621B71" w:rsidRPr="0001491E">
        <w:rPr>
          <w:sz w:val="22"/>
        </w:rPr>
        <w:t xml:space="preserve">snivanje prava služnosti </w:t>
      </w:r>
      <w:r w:rsidR="0001491E" w:rsidRPr="0001491E">
        <w:rPr>
          <w:sz w:val="22"/>
        </w:rPr>
        <w:t xml:space="preserve">i osnivanje prava građenja </w:t>
      </w:r>
      <w:r w:rsidR="00621B71" w:rsidRPr="0001491E">
        <w:rPr>
          <w:sz w:val="22"/>
        </w:rPr>
        <w:t>na česticama na kojima je planirana izgradnja i/ili polaganje vodno-komunalne infrastrukture koje su u vlasništvu ili pod upravljanjem javnopravnih tijela</w:t>
      </w:r>
      <w:r w:rsidR="00965406" w:rsidRPr="0001491E">
        <w:rPr>
          <w:sz w:val="22"/>
        </w:rPr>
        <w:t>,</w:t>
      </w:r>
      <w:r w:rsidR="00621B71" w:rsidRPr="0001491E">
        <w:rPr>
          <w:sz w:val="22"/>
        </w:rPr>
        <w:t xml:space="preserve"> </w:t>
      </w:r>
    </w:p>
    <w:p w14:paraId="744EE3BD" w14:textId="77777777" w:rsidR="00621B71" w:rsidRPr="0001491E" w:rsidRDefault="00621B71" w:rsidP="00587304">
      <w:pPr>
        <w:ind w:left="720" w:hanging="11"/>
        <w:rPr>
          <w:sz w:val="22"/>
        </w:rPr>
      </w:pPr>
      <w:r w:rsidRPr="0001491E">
        <w:rPr>
          <w:sz w:val="22"/>
        </w:rPr>
        <w:t xml:space="preserve">Nositelj obveze: Investitor i </w:t>
      </w:r>
      <w:r w:rsidR="00A234C3" w:rsidRPr="00B86EDD">
        <w:rPr>
          <w:szCs w:val="24"/>
        </w:rPr>
        <w:t>nadležni Ured državne uprave u Dubrovačko-neretvanskoj županiji</w:t>
      </w:r>
      <w:r w:rsidR="00A234C3" w:rsidRPr="0001491E">
        <w:rPr>
          <w:sz w:val="22"/>
        </w:rPr>
        <w:t xml:space="preserve"> </w:t>
      </w:r>
    </w:p>
    <w:p w14:paraId="744EE3BE" w14:textId="77777777" w:rsidR="00621B71" w:rsidRPr="00E27CB5" w:rsidRDefault="00A234C3" w:rsidP="00A234C3">
      <w:pPr>
        <w:ind w:left="720"/>
        <w:rPr>
          <w:sz w:val="22"/>
        </w:rPr>
      </w:pPr>
      <w:r w:rsidRPr="00B86EDD">
        <w:rPr>
          <w:szCs w:val="24"/>
        </w:rPr>
        <w:t xml:space="preserve"> </w:t>
      </w:r>
    </w:p>
    <w:p w14:paraId="744EE3BF" w14:textId="77777777" w:rsidR="00621B71" w:rsidRPr="00A234C3" w:rsidRDefault="00587304" w:rsidP="00621B71">
      <w:pPr>
        <w:numPr>
          <w:ilvl w:val="0"/>
          <w:numId w:val="4"/>
        </w:numPr>
        <w:rPr>
          <w:sz w:val="22"/>
        </w:rPr>
      </w:pPr>
      <w:r w:rsidRPr="00A234C3">
        <w:rPr>
          <w:sz w:val="22"/>
        </w:rPr>
        <w:t>p</w:t>
      </w:r>
      <w:r w:rsidR="00621B71" w:rsidRPr="00A234C3">
        <w:rPr>
          <w:sz w:val="22"/>
        </w:rPr>
        <w:t>rovedba postupaka izvlaštenja koji su pokrenuti pred nadležnim Uredom državne uprave  donošenjem rješenja o potpunom odnosno nepotpunom izvlaštenju</w:t>
      </w:r>
    </w:p>
    <w:p w14:paraId="744EE3C0" w14:textId="77777777" w:rsidR="00A234C3" w:rsidRPr="00A234C3" w:rsidRDefault="00621B71" w:rsidP="00A234C3">
      <w:pPr>
        <w:ind w:left="720" w:hanging="11"/>
        <w:rPr>
          <w:sz w:val="22"/>
        </w:rPr>
      </w:pPr>
      <w:r w:rsidRPr="00A234C3">
        <w:rPr>
          <w:sz w:val="22"/>
        </w:rPr>
        <w:t xml:space="preserve">Nositelj obveze: Investitor i nadležni Ured državne uprave </w:t>
      </w:r>
      <w:r w:rsidR="00A234C3" w:rsidRPr="00A234C3">
        <w:rPr>
          <w:sz w:val="22"/>
        </w:rPr>
        <w:t xml:space="preserve">u Dubrovačko-neretvanskoj županiji </w:t>
      </w:r>
    </w:p>
    <w:p w14:paraId="744EE3C1" w14:textId="77777777" w:rsidR="00621B71" w:rsidRPr="00E27CB5" w:rsidRDefault="00A234C3" w:rsidP="00A234C3">
      <w:pPr>
        <w:ind w:left="720" w:hanging="11"/>
        <w:rPr>
          <w:sz w:val="22"/>
        </w:rPr>
      </w:pPr>
      <w:r w:rsidRPr="00B86EDD">
        <w:rPr>
          <w:szCs w:val="24"/>
        </w:rPr>
        <w:t xml:space="preserve"> </w:t>
      </w:r>
    </w:p>
    <w:p w14:paraId="744EE3C2" w14:textId="77777777" w:rsidR="00621B71" w:rsidRPr="00A234C3" w:rsidRDefault="00587304" w:rsidP="00621B71">
      <w:pPr>
        <w:numPr>
          <w:ilvl w:val="0"/>
          <w:numId w:val="4"/>
        </w:numPr>
        <w:rPr>
          <w:sz w:val="22"/>
        </w:rPr>
      </w:pPr>
      <w:r w:rsidRPr="00A234C3">
        <w:rPr>
          <w:sz w:val="22"/>
        </w:rPr>
        <w:lastRenderedPageBreak/>
        <w:t>i</w:t>
      </w:r>
      <w:r w:rsidR="00621B71" w:rsidRPr="00A234C3">
        <w:rPr>
          <w:sz w:val="22"/>
        </w:rPr>
        <w:t>shođenje lokacijskih dozvola</w:t>
      </w:r>
    </w:p>
    <w:p w14:paraId="744EE3C3" w14:textId="77777777" w:rsidR="00621B71" w:rsidRPr="00A234C3" w:rsidRDefault="00621B71" w:rsidP="00621B71">
      <w:pPr>
        <w:ind w:left="720"/>
        <w:rPr>
          <w:sz w:val="22"/>
        </w:rPr>
      </w:pPr>
      <w:r w:rsidRPr="00A234C3">
        <w:rPr>
          <w:sz w:val="22"/>
        </w:rPr>
        <w:t xml:space="preserve"> </w:t>
      </w:r>
      <w:r w:rsidR="00587304" w:rsidRPr="00A234C3">
        <w:rPr>
          <w:sz w:val="22"/>
        </w:rPr>
        <w:tab/>
        <w:t>Nositelj obveze:</w:t>
      </w:r>
      <w:r w:rsidR="00E27CB5" w:rsidRPr="00A234C3">
        <w:rPr>
          <w:sz w:val="22"/>
        </w:rPr>
        <w:t xml:space="preserve"> Investitor</w:t>
      </w:r>
      <w:r w:rsidR="00CE709D" w:rsidRPr="00A234C3">
        <w:rPr>
          <w:sz w:val="22"/>
        </w:rPr>
        <w:t xml:space="preserve"> i</w:t>
      </w:r>
      <w:r w:rsidR="00E27CB5" w:rsidRPr="00A234C3">
        <w:rPr>
          <w:sz w:val="22"/>
        </w:rPr>
        <w:t xml:space="preserve"> </w:t>
      </w:r>
      <w:r w:rsidR="0001491E" w:rsidRPr="00A234C3">
        <w:rPr>
          <w:rFonts w:eastAsia="Times New Roman"/>
          <w:bCs/>
          <w:sz w:val="22"/>
        </w:rPr>
        <w:t>Ministarstvo graditeljstva i prostornoga uređenja odnosno Upravni odjel za prostorno uređenje, gradnju i zaštitu okoliša Dubrovačko-neretvanske županije</w:t>
      </w:r>
      <w:r w:rsidR="0001491E" w:rsidRPr="00A234C3">
        <w:rPr>
          <w:sz w:val="22"/>
        </w:rPr>
        <w:t xml:space="preserve"> </w:t>
      </w:r>
      <w:r w:rsidR="00A234C3" w:rsidRPr="00A234C3">
        <w:rPr>
          <w:sz w:val="22"/>
        </w:rPr>
        <w:t>ili Upravni odjel za izdavanje i provedbu dokumenata prostornog uređenja i gradnje Grada Dubrovnika</w:t>
      </w:r>
    </w:p>
    <w:p w14:paraId="744EE3C4" w14:textId="77777777" w:rsidR="00587304" w:rsidRPr="0001491E" w:rsidRDefault="00A234C3" w:rsidP="00A234C3">
      <w:pPr>
        <w:ind w:left="720"/>
        <w:rPr>
          <w:sz w:val="22"/>
        </w:rPr>
      </w:pPr>
      <w:r w:rsidRPr="00B86EDD">
        <w:rPr>
          <w:szCs w:val="24"/>
        </w:rPr>
        <w:t xml:space="preserve"> </w:t>
      </w:r>
    </w:p>
    <w:p w14:paraId="744EE3C5" w14:textId="77777777" w:rsidR="00621B71" w:rsidRPr="0001491E" w:rsidRDefault="00587304" w:rsidP="00621B71">
      <w:pPr>
        <w:numPr>
          <w:ilvl w:val="0"/>
          <w:numId w:val="4"/>
        </w:numPr>
        <w:rPr>
          <w:sz w:val="22"/>
        </w:rPr>
      </w:pPr>
      <w:r w:rsidRPr="0001491E">
        <w:rPr>
          <w:sz w:val="22"/>
        </w:rPr>
        <w:t>i</w:t>
      </w:r>
      <w:r w:rsidR="00621B71" w:rsidRPr="0001491E">
        <w:rPr>
          <w:sz w:val="22"/>
        </w:rPr>
        <w:t>shođenje građevinskih dozvola,</w:t>
      </w:r>
    </w:p>
    <w:p w14:paraId="744EE3C6" w14:textId="77777777" w:rsidR="00621B71" w:rsidRPr="0001491E" w:rsidRDefault="00587304" w:rsidP="00E27CB5">
      <w:pPr>
        <w:ind w:hanging="5"/>
        <w:rPr>
          <w:sz w:val="22"/>
        </w:rPr>
      </w:pPr>
      <w:r w:rsidRPr="0001491E">
        <w:rPr>
          <w:sz w:val="22"/>
        </w:rPr>
        <w:t>Nositelj obveze:</w:t>
      </w:r>
      <w:r w:rsidR="00E27CB5" w:rsidRPr="0001491E">
        <w:rPr>
          <w:sz w:val="22"/>
        </w:rPr>
        <w:t xml:space="preserve"> Investitor </w:t>
      </w:r>
      <w:r w:rsidR="00CE709D">
        <w:rPr>
          <w:sz w:val="22"/>
        </w:rPr>
        <w:t xml:space="preserve">i </w:t>
      </w:r>
      <w:r w:rsidR="0001491E" w:rsidRPr="0001491E">
        <w:rPr>
          <w:rFonts w:eastAsia="Times New Roman"/>
          <w:bCs/>
          <w:sz w:val="22"/>
        </w:rPr>
        <w:t>Ministarstvo graditeljstva i prostornoga uređenja odnosno Upravni odjel za prostorno uređenje, gradnju i zaštitu okoliša Dubrovačko-neretvanske županije</w:t>
      </w:r>
      <w:r w:rsidR="0001491E" w:rsidRPr="0001491E">
        <w:rPr>
          <w:sz w:val="22"/>
        </w:rPr>
        <w:t xml:space="preserve"> </w:t>
      </w:r>
      <w:r w:rsidR="00A234C3" w:rsidRPr="00A234C3">
        <w:rPr>
          <w:sz w:val="22"/>
        </w:rPr>
        <w:t>ili Upravni odjel za izdavanje i provedbu dokumenata prostornog uređenja i gradnje Dubrovnika</w:t>
      </w:r>
    </w:p>
    <w:p w14:paraId="744EE3C7" w14:textId="77777777" w:rsidR="00E27CB5" w:rsidRPr="00E27CB5" w:rsidRDefault="00A234C3" w:rsidP="00A234C3">
      <w:pPr>
        <w:ind w:hanging="5"/>
        <w:rPr>
          <w:sz w:val="22"/>
        </w:rPr>
      </w:pPr>
      <w:r w:rsidRPr="00B86EDD">
        <w:rPr>
          <w:szCs w:val="24"/>
        </w:rPr>
        <w:t xml:space="preserve"> </w:t>
      </w:r>
    </w:p>
    <w:p w14:paraId="744EE3C8" w14:textId="77777777" w:rsidR="00621B71" w:rsidRPr="00E27CB5" w:rsidRDefault="00587304" w:rsidP="00621B71">
      <w:pPr>
        <w:numPr>
          <w:ilvl w:val="0"/>
          <w:numId w:val="4"/>
        </w:numPr>
        <w:rPr>
          <w:sz w:val="22"/>
        </w:rPr>
      </w:pPr>
      <w:r w:rsidRPr="00E27CB5">
        <w:rPr>
          <w:sz w:val="22"/>
        </w:rPr>
        <w:t>i</w:t>
      </w:r>
      <w:r w:rsidR="00621B71" w:rsidRPr="00E27CB5">
        <w:rPr>
          <w:sz w:val="22"/>
        </w:rPr>
        <w:t xml:space="preserve">shođenje građevinske dozvole za izgradnju uređaja za pročišćavanje komunalnih otpadnih voda (UPOV)-a </w:t>
      </w:r>
      <w:proofErr w:type="spellStart"/>
      <w:r w:rsidR="00621B71" w:rsidRPr="00E27CB5">
        <w:rPr>
          <w:sz w:val="22"/>
        </w:rPr>
        <w:t>Lapad</w:t>
      </w:r>
      <w:proofErr w:type="spellEnd"/>
      <w:r w:rsidR="00621B71" w:rsidRPr="00E27CB5">
        <w:rPr>
          <w:sz w:val="22"/>
        </w:rPr>
        <w:t xml:space="preserve"> II. stupnja pročišćavanja, kapaciteta 73.000 ES-a (ekvivalent stanovnika)</w:t>
      </w:r>
      <w:r w:rsidR="00621B71" w:rsidRPr="00E27CB5">
        <w:rPr>
          <w:bCs/>
          <w:sz w:val="22"/>
        </w:rPr>
        <w:t>,</w:t>
      </w:r>
      <w:r w:rsidR="00621B71" w:rsidRPr="00E27CB5">
        <w:rPr>
          <w:sz w:val="22"/>
        </w:rPr>
        <w:t xml:space="preserve"> ugovaranjem po </w:t>
      </w:r>
      <w:r w:rsidR="00E27CB5" w:rsidRPr="00E27CB5">
        <w:rPr>
          <w:sz w:val="22"/>
        </w:rPr>
        <w:t>„</w:t>
      </w:r>
      <w:r w:rsidR="00621B71" w:rsidRPr="00E27CB5">
        <w:rPr>
          <w:sz w:val="22"/>
        </w:rPr>
        <w:t>FIDIC žutoj knjizi</w:t>
      </w:r>
      <w:r w:rsidR="00E27CB5" w:rsidRPr="00E27CB5">
        <w:rPr>
          <w:sz w:val="22"/>
        </w:rPr>
        <w:t>“</w:t>
      </w:r>
    </w:p>
    <w:p w14:paraId="744EE3C9" w14:textId="77777777" w:rsidR="00621B71" w:rsidRPr="00E27CB5" w:rsidRDefault="00621B71" w:rsidP="00E27CB5">
      <w:pPr>
        <w:ind w:left="720" w:hanging="11"/>
        <w:rPr>
          <w:sz w:val="22"/>
        </w:rPr>
      </w:pPr>
      <w:r w:rsidRPr="00E27CB5">
        <w:rPr>
          <w:sz w:val="22"/>
        </w:rPr>
        <w:t>Nositelj obveze: Izvođač radova i nadležni Ured državne uprave prostorno uređenje, gradnju i zaštitu okoliša Dubrovačko-neretvanske županije</w:t>
      </w:r>
    </w:p>
    <w:p w14:paraId="744EE3CA" w14:textId="77777777" w:rsidR="00621B71" w:rsidRPr="00E27CB5" w:rsidRDefault="00621B71" w:rsidP="00621B71">
      <w:pPr>
        <w:pStyle w:val="ListParagraph"/>
        <w:rPr>
          <w:sz w:val="22"/>
        </w:rPr>
      </w:pPr>
    </w:p>
    <w:p w14:paraId="744EE3CB" w14:textId="77777777" w:rsidR="00621B71" w:rsidRPr="00E27CB5" w:rsidRDefault="00E27CB5" w:rsidP="00621B71">
      <w:pPr>
        <w:numPr>
          <w:ilvl w:val="0"/>
          <w:numId w:val="4"/>
        </w:numPr>
        <w:rPr>
          <w:sz w:val="22"/>
        </w:rPr>
      </w:pPr>
      <w:r w:rsidRPr="00E27CB5">
        <w:rPr>
          <w:sz w:val="22"/>
        </w:rPr>
        <w:t>i</w:t>
      </w:r>
      <w:r w:rsidR="00621B71" w:rsidRPr="00E27CB5">
        <w:rPr>
          <w:sz w:val="22"/>
        </w:rPr>
        <w:t xml:space="preserve">shođenje građevinske dozvole za izgradnju postrojenja za solarno sušenje mulja po </w:t>
      </w:r>
      <w:r w:rsidRPr="00E27CB5">
        <w:rPr>
          <w:sz w:val="22"/>
        </w:rPr>
        <w:t>„</w:t>
      </w:r>
      <w:r w:rsidR="00621B71" w:rsidRPr="00E27CB5">
        <w:rPr>
          <w:sz w:val="22"/>
        </w:rPr>
        <w:t>FIDIC žutoj knjizi</w:t>
      </w:r>
      <w:r w:rsidRPr="00E27CB5">
        <w:rPr>
          <w:sz w:val="22"/>
        </w:rPr>
        <w:t>“</w:t>
      </w:r>
      <w:r w:rsidR="00621B71" w:rsidRPr="00E27CB5">
        <w:rPr>
          <w:sz w:val="22"/>
        </w:rPr>
        <w:t xml:space="preserve"> </w:t>
      </w:r>
    </w:p>
    <w:p w14:paraId="744EE3CC" w14:textId="77777777" w:rsidR="00621B71" w:rsidRPr="00E27CB5" w:rsidRDefault="00621B71" w:rsidP="00E27CB5">
      <w:pPr>
        <w:ind w:left="720" w:hanging="11"/>
        <w:rPr>
          <w:sz w:val="22"/>
        </w:rPr>
      </w:pPr>
      <w:r w:rsidRPr="00E27CB5">
        <w:rPr>
          <w:sz w:val="22"/>
        </w:rPr>
        <w:t>Nositelj obveze: Izvođač radova i nadležni Ured državne uprave prostorno uređenje, gradnju i zaštitu okoliša Dubrovačko-neretvanske županije</w:t>
      </w:r>
      <w:r w:rsidR="00E27CB5" w:rsidRPr="00E27CB5">
        <w:rPr>
          <w:sz w:val="22"/>
        </w:rPr>
        <w:t>.</w:t>
      </w:r>
    </w:p>
    <w:p w14:paraId="744EE3CD" w14:textId="77777777" w:rsidR="00EC7C93" w:rsidRPr="00E27CB5" w:rsidRDefault="00EC7C93" w:rsidP="0034335E">
      <w:pPr>
        <w:pStyle w:val="ListParagraph"/>
        <w:spacing w:after="120" w:line="276" w:lineRule="auto"/>
        <w:ind w:left="0" w:firstLine="0"/>
        <w:rPr>
          <w:sz w:val="22"/>
        </w:rPr>
      </w:pPr>
    </w:p>
    <w:p w14:paraId="744EE3CE" w14:textId="77777777" w:rsidR="00787224" w:rsidRPr="00E27CB5" w:rsidRDefault="00787224" w:rsidP="0034335E">
      <w:pPr>
        <w:pStyle w:val="ListParagraph"/>
        <w:spacing w:after="120" w:line="276" w:lineRule="auto"/>
        <w:ind w:left="0" w:firstLine="0"/>
        <w:rPr>
          <w:sz w:val="22"/>
        </w:rPr>
      </w:pPr>
      <w:r w:rsidRPr="00E27CB5">
        <w:rPr>
          <w:sz w:val="22"/>
        </w:rPr>
        <w:t>Svi upravni i drugi postupci navedeni u predmetnom hodogramu aktivnosti kao i možebitni postupci koji nisu navedeni, a koje će biti potrebno provesti u svrhu pripreme i realizacije Projekta, provest će se sukladno propisima Republike Hrvatske.</w:t>
      </w:r>
    </w:p>
    <w:p w14:paraId="744EE3CF" w14:textId="77777777" w:rsidR="005A06DD" w:rsidRPr="00E27CB5" w:rsidRDefault="006973EC" w:rsidP="0034335E">
      <w:pPr>
        <w:spacing w:before="120" w:after="6" w:line="276" w:lineRule="auto"/>
        <w:ind w:left="0" w:firstLine="0"/>
        <w:jc w:val="center"/>
        <w:rPr>
          <w:b/>
          <w:sz w:val="22"/>
        </w:rPr>
      </w:pPr>
      <w:r w:rsidRPr="00E27CB5">
        <w:rPr>
          <w:b/>
          <w:sz w:val="22"/>
        </w:rPr>
        <w:t>IX.</w:t>
      </w:r>
    </w:p>
    <w:p w14:paraId="744EE3D0" w14:textId="77777777" w:rsidR="00445900" w:rsidRPr="00E27CB5" w:rsidRDefault="00445900" w:rsidP="0034335E">
      <w:pPr>
        <w:pStyle w:val="t-9-8"/>
        <w:spacing w:beforeLines="30" w:before="72" w:beforeAutospacing="0" w:afterLines="30" w:after="72" w:afterAutospacing="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27CB5">
        <w:rPr>
          <w:rFonts w:eastAsia="Calibri"/>
          <w:sz w:val="22"/>
          <w:szCs w:val="22"/>
          <w:lang w:eastAsia="en-US"/>
        </w:rPr>
        <w:t xml:space="preserve">Ova Odluka stupa na snagu danom donošenja, a objavit će se u </w:t>
      </w:r>
      <w:r w:rsidR="00CC1E98" w:rsidRPr="00E27CB5">
        <w:rPr>
          <w:rFonts w:eastAsia="Calibri"/>
          <w:sz w:val="22"/>
          <w:szCs w:val="22"/>
          <w:lang w:eastAsia="en-US"/>
        </w:rPr>
        <w:t>„</w:t>
      </w:r>
      <w:r w:rsidRPr="00E27CB5">
        <w:rPr>
          <w:rFonts w:eastAsia="Calibri"/>
          <w:sz w:val="22"/>
          <w:szCs w:val="22"/>
          <w:lang w:eastAsia="en-US"/>
        </w:rPr>
        <w:t>Narodnim novinama</w:t>
      </w:r>
      <w:r w:rsidR="00CC1E98" w:rsidRPr="00E27CB5">
        <w:rPr>
          <w:rFonts w:eastAsia="Calibri"/>
          <w:sz w:val="22"/>
          <w:szCs w:val="22"/>
          <w:lang w:eastAsia="en-US"/>
        </w:rPr>
        <w:t>“</w:t>
      </w:r>
      <w:r w:rsidRPr="00E27CB5">
        <w:rPr>
          <w:rFonts w:eastAsia="Calibri"/>
          <w:sz w:val="22"/>
          <w:szCs w:val="22"/>
          <w:lang w:eastAsia="en-US"/>
        </w:rPr>
        <w:t>.</w:t>
      </w:r>
    </w:p>
    <w:p w14:paraId="744EE3D1" w14:textId="77777777" w:rsidR="0065465C" w:rsidRPr="00E27CB5" w:rsidRDefault="0065465C" w:rsidP="0034335E">
      <w:pPr>
        <w:pStyle w:val="t-9-8"/>
        <w:spacing w:beforeLines="30" w:before="72" w:beforeAutospacing="0" w:afterLines="30" w:after="72" w:afterAutospacing="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44EE3D2" w14:textId="77777777" w:rsidR="00445900" w:rsidRPr="00E27CB5" w:rsidRDefault="00445900" w:rsidP="0034335E">
      <w:pPr>
        <w:pStyle w:val="t-9-8"/>
        <w:spacing w:before="0" w:beforeAutospacing="0" w:after="0" w:afterAutospacing="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27CB5">
        <w:rPr>
          <w:rFonts w:eastAsia="Calibri"/>
          <w:sz w:val="22"/>
          <w:szCs w:val="22"/>
          <w:lang w:eastAsia="en-US"/>
        </w:rPr>
        <w:t>Klasa:</w:t>
      </w:r>
    </w:p>
    <w:p w14:paraId="744EE3D3" w14:textId="77777777" w:rsidR="00445900" w:rsidRPr="00E27CB5" w:rsidRDefault="00445900" w:rsidP="0034335E">
      <w:pPr>
        <w:pStyle w:val="t-9-8"/>
        <w:spacing w:before="0" w:beforeAutospacing="0" w:after="0" w:afterAutospacing="0" w:line="276" w:lineRule="auto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E27CB5">
        <w:rPr>
          <w:rFonts w:eastAsia="Calibri"/>
          <w:sz w:val="22"/>
          <w:szCs w:val="22"/>
          <w:lang w:eastAsia="en-US"/>
        </w:rPr>
        <w:t>Urbroj</w:t>
      </w:r>
      <w:proofErr w:type="spellEnd"/>
      <w:r w:rsidRPr="00E27CB5">
        <w:rPr>
          <w:rFonts w:eastAsia="Calibri"/>
          <w:sz w:val="22"/>
          <w:szCs w:val="22"/>
          <w:lang w:eastAsia="en-US"/>
        </w:rPr>
        <w:t>:</w:t>
      </w:r>
    </w:p>
    <w:p w14:paraId="744EE3D4" w14:textId="77777777" w:rsidR="00445900" w:rsidRPr="00E27CB5" w:rsidRDefault="00445900" w:rsidP="0034335E">
      <w:pPr>
        <w:pStyle w:val="t-9-8"/>
        <w:spacing w:before="0" w:beforeAutospacing="0" w:after="0" w:afterAutospacing="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27CB5">
        <w:rPr>
          <w:rFonts w:eastAsia="Calibri"/>
          <w:sz w:val="22"/>
          <w:szCs w:val="22"/>
          <w:lang w:eastAsia="en-US"/>
        </w:rPr>
        <w:t xml:space="preserve">Zagreb, </w:t>
      </w:r>
    </w:p>
    <w:p w14:paraId="744EE3D5" w14:textId="77777777" w:rsidR="00445900" w:rsidRPr="00E27CB5" w:rsidRDefault="00BC5269" w:rsidP="00DE314D">
      <w:pPr>
        <w:spacing w:line="276" w:lineRule="auto"/>
        <w:ind w:left="6381" w:firstLine="709"/>
        <w:rPr>
          <w:b/>
          <w:sz w:val="22"/>
        </w:rPr>
      </w:pPr>
      <w:r w:rsidRPr="00E27CB5">
        <w:rPr>
          <w:b/>
          <w:sz w:val="22"/>
        </w:rPr>
        <w:t>Predsjednik</w:t>
      </w:r>
    </w:p>
    <w:p w14:paraId="744EE3D6" w14:textId="77777777" w:rsidR="002F7262" w:rsidRPr="00E27CB5" w:rsidRDefault="00930FD5" w:rsidP="00DE314D">
      <w:pPr>
        <w:spacing w:line="276" w:lineRule="auto"/>
        <w:ind w:left="0" w:firstLine="0"/>
        <w:jc w:val="right"/>
        <w:rPr>
          <w:b/>
          <w:sz w:val="22"/>
        </w:rPr>
      </w:pPr>
      <w:r w:rsidRPr="00E27CB5">
        <w:rPr>
          <w:b/>
          <w:sz w:val="22"/>
        </w:rPr>
        <w:t>m</w:t>
      </w:r>
      <w:r w:rsidR="00A75D68" w:rsidRPr="00E27CB5">
        <w:rPr>
          <w:b/>
          <w:sz w:val="22"/>
        </w:rPr>
        <w:t xml:space="preserve">r. </w:t>
      </w:r>
      <w:proofErr w:type="spellStart"/>
      <w:r w:rsidR="00A75D68" w:rsidRPr="00E27CB5">
        <w:rPr>
          <w:b/>
          <w:sz w:val="22"/>
        </w:rPr>
        <w:t>sc</w:t>
      </w:r>
      <w:proofErr w:type="spellEnd"/>
      <w:r w:rsidR="00A75D68" w:rsidRPr="00E27CB5">
        <w:rPr>
          <w:b/>
          <w:sz w:val="22"/>
        </w:rPr>
        <w:t>. Andrej Plenković</w:t>
      </w:r>
    </w:p>
    <w:p w14:paraId="744EE3D7" w14:textId="77777777" w:rsidR="002F7262" w:rsidRDefault="002F7262" w:rsidP="00DE314D">
      <w:pPr>
        <w:spacing w:line="276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744EE3D8" w14:textId="77777777" w:rsidR="00B36CC1" w:rsidRPr="00557F49" w:rsidRDefault="00B36CC1" w:rsidP="00B36CC1">
      <w:pPr>
        <w:spacing w:after="200" w:line="276" w:lineRule="auto"/>
        <w:ind w:left="0" w:firstLine="0"/>
        <w:jc w:val="center"/>
        <w:rPr>
          <w:rFonts w:eastAsiaTheme="minorHAnsi"/>
          <w:b/>
          <w:sz w:val="22"/>
        </w:rPr>
      </w:pPr>
      <w:r w:rsidRPr="00557F49">
        <w:rPr>
          <w:rFonts w:eastAsiaTheme="minorHAnsi"/>
          <w:b/>
          <w:sz w:val="22"/>
        </w:rPr>
        <w:lastRenderedPageBreak/>
        <w:t>OBRAZLOŽENJE</w:t>
      </w:r>
    </w:p>
    <w:p w14:paraId="744EE3D9" w14:textId="77777777" w:rsidR="00B36CC1" w:rsidRPr="00E27CB5" w:rsidRDefault="00B36CC1" w:rsidP="00B36CC1">
      <w:pPr>
        <w:spacing w:after="200" w:line="276" w:lineRule="auto"/>
        <w:ind w:left="0" w:firstLine="0"/>
        <w:rPr>
          <w:rFonts w:eastAsiaTheme="minorHAnsi"/>
          <w:sz w:val="22"/>
        </w:rPr>
      </w:pPr>
      <w:r w:rsidRPr="00E27CB5">
        <w:rPr>
          <w:rFonts w:eastAsiaTheme="minorHAnsi"/>
          <w:sz w:val="22"/>
        </w:rPr>
        <w:t>Sukladno Zakonu o strateškim investicijskim projektima Republike Hrvatske („Narodne novin</w:t>
      </w:r>
      <w:r w:rsidR="00AE3DFD" w:rsidRPr="00E27CB5">
        <w:rPr>
          <w:rFonts w:eastAsiaTheme="minorHAnsi"/>
          <w:sz w:val="22"/>
        </w:rPr>
        <w:t>e“, broj 133/13, 152/14 i 22/16</w:t>
      </w:r>
      <w:r w:rsidRPr="00E27CB5">
        <w:rPr>
          <w:rFonts w:eastAsiaTheme="minorHAnsi"/>
          <w:sz w:val="22"/>
        </w:rPr>
        <w:t xml:space="preserve">), investitor </w:t>
      </w:r>
      <w:r w:rsidR="00AE3DFD" w:rsidRPr="00E27CB5">
        <w:rPr>
          <w:sz w:val="22"/>
        </w:rPr>
        <w:t xml:space="preserve">trgovačko društvo </w:t>
      </w:r>
      <w:r w:rsidR="00E27CB5" w:rsidRPr="00E27CB5">
        <w:rPr>
          <w:sz w:val="22"/>
        </w:rPr>
        <w:t xml:space="preserve">Vodovod Dubrovnik d.o.o., iz Dubrovnika </w:t>
      </w:r>
      <w:r w:rsidRPr="00E27CB5">
        <w:rPr>
          <w:rFonts w:eastAsiaTheme="minorHAnsi"/>
          <w:sz w:val="22"/>
        </w:rPr>
        <w:t>podnio je prijavu za proglašenje projekta pod nazivom „</w:t>
      </w:r>
      <w:r w:rsidR="00E27CB5" w:rsidRPr="00E27CB5">
        <w:rPr>
          <w:sz w:val="22"/>
        </w:rPr>
        <w:t>Razvoj vodno-komunalne infrastrukture Dubrovnik</w:t>
      </w:r>
      <w:r w:rsidRPr="00E27CB5">
        <w:rPr>
          <w:rFonts w:eastAsiaTheme="minorHAnsi"/>
          <w:sz w:val="22"/>
        </w:rPr>
        <w:t>“ strateškim investicijskim projektom Republike Hrvatske</w:t>
      </w:r>
      <w:r w:rsidR="00372914" w:rsidRPr="00E27CB5">
        <w:rPr>
          <w:rFonts w:eastAsiaTheme="minorHAnsi"/>
          <w:sz w:val="22"/>
        </w:rPr>
        <w:t xml:space="preserve"> </w:t>
      </w:r>
      <w:r w:rsidR="00372914" w:rsidRPr="00E27CB5">
        <w:rPr>
          <w:iCs/>
          <w:sz w:val="22"/>
        </w:rPr>
        <w:t>(u daljnjem tekstu: Projekt)</w:t>
      </w:r>
      <w:r w:rsidRPr="00E27CB5">
        <w:rPr>
          <w:rFonts w:eastAsiaTheme="minorHAnsi"/>
          <w:sz w:val="22"/>
        </w:rPr>
        <w:t>.</w:t>
      </w:r>
    </w:p>
    <w:p w14:paraId="744EE3DA" w14:textId="77777777" w:rsidR="00AE3DFD" w:rsidRDefault="00AE3DFD" w:rsidP="00B36CC1">
      <w:pPr>
        <w:spacing w:after="200" w:line="276" w:lineRule="auto"/>
        <w:ind w:left="0" w:firstLine="0"/>
        <w:rPr>
          <w:rFonts w:eastAsiaTheme="minorHAnsi"/>
          <w:sz w:val="22"/>
        </w:rPr>
      </w:pPr>
      <w:r w:rsidRPr="00E27CB5">
        <w:rPr>
          <w:rFonts w:eastAsiaTheme="minorHAnsi"/>
          <w:sz w:val="22"/>
        </w:rPr>
        <w:t>U međuvremenu je stupio na snagu Zakon o strateškim investicijskim projektima Republike Hrvatske („Narodne novine“, broj 29/18).</w:t>
      </w:r>
    </w:p>
    <w:p w14:paraId="744EE3DB" w14:textId="77777777" w:rsidR="00990F27" w:rsidRPr="00276422" w:rsidRDefault="00990F27" w:rsidP="00990F27">
      <w:pPr>
        <w:spacing w:after="200" w:line="276" w:lineRule="auto"/>
        <w:ind w:left="0" w:firstLine="0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Temeljem </w:t>
      </w:r>
      <w:r w:rsidRPr="00276422">
        <w:rPr>
          <w:rFonts w:eastAsiaTheme="minorHAnsi"/>
          <w:sz w:val="22"/>
        </w:rPr>
        <w:t>članak</w:t>
      </w:r>
      <w:r>
        <w:rPr>
          <w:rFonts w:eastAsiaTheme="minorHAnsi"/>
          <w:sz w:val="22"/>
        </w:rPr>
        <w:t>a</w:t>
      </w:r>
      <w:r w:rsidRPr="00276422">
        <w:rPr>
          <w:rFonts w:eastAsiaTheme="minorHAnsi"/>
          <w:sz w:val="22"/>
        </w:rPr>
        <w:t xml:space="preserve"> 33. Zakona o strateškim investicijskim projektima Republike Hrvatske („Narodne novine“, br</w:t>
      </w:r>
      <w:r>
        <w:rPr>
          <w:rFonts w:eastAsiaTheme="minorHAnsi"/>
          <w:sz w:val="22"/>
        </w:rPr>
        <w:t>.</w:t>
      </w:r>
      <w:r w:rsidRPr="00276422">
        <w:rPr>
          <w:rFonts w:eastAsiaTheme="minorHAnsi"/>
          <w:sz w:val="22"/>
        </w:rPr>
        <w:t xml:space="preserve"> 29/18), svi postupci i radnje koji se odn</w:t>
      </w:r>
      <w:r>
        <w:rPr>
          <w:rFonts w:eastAsiaTheme="minorHAnsi"/>
          <w:sz w:val="22"/>
        </w:rPr>
        <w:t>ose na aktivnosti iz članaka 6.</w:t>
      </w:r>
      <w:r w:rsidRPr="00276422">
        <w:rPr>
          <w:rFonts w:eastAsiaTheme="minorHAnsi"/>
          <w:sz w:val="22"/>
        </w:rPr>
        <w:t>–12. Zakona o strateškim investicijskim projektima Republike Hrvatske (»Narodne novine«, br. 133/13., 152/14. i 22/16.) započeti, a nedovršeni prije stupanja na snagu Zakona o strateškim investicijskim projektima Republike Hrvatske („Narodne novine“, br</w:t>
      </w:r>
      <w:r>
        <w:rPr>
          <w:rFonts w:eastAsiaTheme="minorHAnsi"/>
          <w:sz w:val="22"/>
        </w:rPr>
        <w:t>.</w:t>
      </w:r>
      <w:r w:rsidRPr="00276422">
        <w:rPr>
          <w:rFonts w:eastAsiaTheme="minorHAnsi"/>
          <w:sz w:val="22"/>
        </w:rPr>
        <w:t xml:space="preserve"> 29/18), dovršit će se na temelju Zakona koji je povoljniji za investitora</w:t>
      </w:r>
      <w:r>
        <w:rPr>
          <w:rFonts w:eastAsiaTheme="minorHAnsi"/>
          <w:sz w:val="22"/>
        </w:rPr>
        <w:t>.</w:t>
      </w:r>
      <w:r w:rsidRPr="00276422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 xml:space="preserve">Zakon </w:t>
      </w:r>
      <w:r w:rsidRPr="00276422">
        <w:rPr>
          <w:rFonts w:eastAsiaTheme="minorHAnsi"/>
          <w:sz w:val="22"/>
        </w:rPr>
        <w:t>o strateškim investicijskim projektima Republike Hrvatske (»Narodne novine«, br. 133/13., 152/14. i 22/16.)</w:t>
      </w:r>
      <w:r>
        <w:rPr>
          <w:rFonts w:eastAsiaTheme="minorHAnsi"/>
          <w:sz w:val="22"/>
        </w:rPr>
        <w:t xml:space="preserve"> u ovom slučaju povoljniji je za javnog investitora u dijelu ne sklapanja </w:t>
      </w:r>
      <w:r w:rsidRPr="00276422">
        <w:rPr>
          <w:rFonts w:eastAsiaTheme="minorHAnsi"/>
          <w:sz w:val="22"/>
        </w:rPr>
        <w:t>Sporazuma o pripremi i provedbi strateškog projekta, prije donošenja odluke Vlade Republike Hrvatske o proglašenju strateškog projekta Republike Hrvatske.</w:t>
      </w:r>
    </w:p>
    <w:p w14:paraId="744EE3DC" w14:textId="77777777" w:rsidR="00B36CC1" w:rsidRPr="00E27CB5" w:rsidRDefault="00B36CC1" w:rsidP="00B36CC1">
      <w:pPr>
        <w:spacing w:after="200" w:line="276" w:lineRule="auto"/>
        <w:ind w:left="0" w:firstLine="0"/>
        <w:rPr>
          <w:rFonts w:eastAsiaTheme="minorHAnsi"/>
          <w:sz w:val="22"/>
        </w:rPr>
      </w:pPr>
      <w:r w:rsidRPr="00E27CB5">
        <w:rPr>
          <w:rFonts w:eastAsiaTheme="minorHAnsi"/>
          <w:sz w:val="22"/>
        </w:rPr>
        <w:t xml:space="preserve">Povjerenstvo za procjenu i utvrđivanje prijedloga strateških projekata (u daljnjem tekstu: Povjerenstvo) na sjednici održanoj </w:t>
      </w:r>
      <w:r w:rsidR="00E27CB5" w:rsidRPr="00E27CB5">
        <w:rPr>
          <w:sz w:val="22"/>
        </w:rPr>
        <w:t xml:space="preserve">31. kolovoza 2016. godine </w:t>
      </w:r>
      <w:r w:rsidRPr="00E27CB5">
        <w:rPr>
          <w:rFonts w:eastAsiaTheme="minorHAnsi"/>
          <w:sz w:val="22"/>
        </w:rPr>
        <w:t>ocijenilo je da predloženi Projekt udovoljava propisanim kriterijima Zakona. Na temelju prijedloga Povjerenstva</w:t>
      </w:r>
      <w:r w:rsidR="00E27CB5">
        <w:rPr>
          <w:rFonts w:eastAsiaTheme="minorHAnsi"/>
          <w:sz w:val="22"/>
        </w:rPr>
        <w:t>,</w:t>
      </w:r>
      <w:r w:rsidRPr="00E27CB5">
        <w:rPr>
          <w:rFonts w:eastAsiaTheme="minorHAnsi"/>
          <w:sz w:val="22"/>
        </w:rPr>
        <w:t xml:space="preserve"> Ministarstvo gospodarstva, poduzetništva i obrta je </w:t>
      </w:r>
      <w:r w:rsidR="00E27CB5" w:rsidRPr="00E27CB5">
        <w:rPr>
          <w:sz w:val="22"/>
        </w:rPr>
        <w:t xml:space="preserve">31. kolovoza 2016. godine </w:t>
      </w:r>
      <w:r w:rsidRPr="00E27CB5">
        <w:rPr>
          <w:rFonts w:eastAsiaTheme="minorHAnsi"/>
          <w:sz w:val="22"/>
        </w:rPr>
        <w:t>donijelo Odluku o uvrštenju Projekta na Listu strateških projekata.</w:t>
      </w:r>
    </w:p>
    <w:p w14:paraId="744EE3DD" w14:textId="77777777" w:rsidR="00EB23D9" w:rsidRPr="00990F27" w:rsidRDefault="00EB23D9" w:rsidP="00990F27">
      <w:pPr>
        <w:spacing w:after="200" w:line="276" w:lineRule="auto"/>
        <w:ind w:left="0" w:firstLine="0"/>
        <w:rPr>
          <w:rFonts w:eastAsiaTheme="minorHAnsi"/>
          <w:sz w:val="22"/>
        </w:rPr>
      </w:pPr>
      <w:r w:rsidRPr="00990F27">
        <w:rPr>
          <w:rFonts w:eastAsiaTheme="minorHAnsi"/>
          <w:sz w:val="22"/>
        </w:rPr>
        <w:t xml:space="preserve">Projekt </w:t>
      </w:r>
      <w:r w:rsidRPr="00EB23D9">
        <w:rPr>
          <w:rFonts w:eastAsiaTheme="minorHAnsi"/>
          <w:sz w:val="22"/>
        </w:rPr>
        <w:t xml:space="preserve">je javni investicijski projekt i </w:t>
      </w:r>
      <w:r w:rsidRPr="00990F27">
        <w:rPr>
          <w:rFonts w:eastAsiaTheme="minorHAnsi"/>
          <w:sz w:val="22"/>
        </w:rPr>
        <w:t>odnosi se na izgradnju uređaja za pripremu pitke vode (UPPV) ''</w:t>
      </w:r>
      <w:proofErr w:type="spellStart"/>
      <w:r w:rsidRPr="00990F27">
        <w:rPr>
          <w:rFonts w:eastAsiaTheme="minorHAnsi"/>
          <w:sz w:val="22"/>
        </w:rPr>
        <w:t>Ombla</w:t>
      </w:r>
      <w:proofErr w:type="spellEnd"/>
      <w:r w:rsidRPr="00990F27">
        <w:rPr>
          <w:rFonts w:eastAsiaTheme="minorHAnsi"/>
          <w:sz w:val="22"/>
        </w:rPr>
        <w:t>'' izgradnju i rekonstrukciju sustava vodoopskrbe; izgradnju i rekonstrukciju sustava odvodnje otpadnih voda; izgradnju uređaja za pročišćavanje otpadnih voda (UPOV) ''</w:t>
      </w:r>
      <w:proofErr w:type="spellStart"/>
      <w:r w:rsidRPr="00990F27">
        <w:rPr>
          <w:rFonts w:eastAsiaTheme="minorHAnsi"/>
          <w:sz w:val="22"/>
        </w:rPr>
        <w:t>Lapad</w:t>
      </w:r>
      <w:proofErr w:type="spellEnd"/>
      <w:r w:rsidRPr="00990F27">
        <w:rPr>
          <w:rFonts w:eastAsiaTheme="minorHAnsi"/>
          <w:sz w:val="22"/>
        </w:rPr>
        <w:t>'', kapaciteta 73.000 ES (ekvivalent stanovnika), II. stupnja pročišćavanja sa rekonstrukcijom podmorskog ispusta, izgradnju postrojenja za obradu mulja, te nabavu opreme za održavanje izgrađenih objekata.</w:t>
      </w:r>
    </w:p>
    <w:p w14:paraId="744EE3DE" w14:textId="77777777" w:rsidR="00EB23D9" w:rsidRPr="00990F27" w:rsidRDefault="00EB23D9" w:rsidP="00990F27">
      <w:pPr>
        <w:spacing w:after="200" w:line="276" w:lineRule="auto"/>
        <w:ind w:left="0" w:firstLine="0"/>
        <w:rPr>
          <w:rFonts w:eastAsiaTheme="minorHAnsi"/>
          <w:sz w:val="22"/>
        </w:rPr>
      </w:pPr>
      <w:r w:rsidRPr="00990F27">
        <w:rPr>
          <w:rFonts w:eastAsiaTheme="minorHAnsi"/>
          <w:sz w:val="22"/>
        </w:rPr>
        <w:t xml:space="preserve">Realizacijom ovog Projekta, dodatnih 1156 stanovnika imati će omogućen pristup javnom sustavu vodoopskrbe, dok će se priključenost na javni sustav odvodnje i pročišćavanja povećati za 4.510 ES (ekvivalent stanovnika) čime će se priključenost na javni sustav odvodnje povećati sa 87% na 92%.  </w:t>
      </w:r>
    </w:p>
    <w:p w14:paraId="744EE3DF" w14:textId="77777777" w:rsidR="00EB23D9" w:rsidRPr="00990F27" w:rsidRDefault="00EB23D9" w:rsidP="00990F27">
      <w:pPr>
        <w:spacing w:after="200" w:line="276" w:lineRule="auto"/>
        <w:ind w:left="0" w:firstLine="0"/>
        <w:rPr>
          <w:rFonts w:eastAsiaTheme="minorHAnsi"/>
          <w:sz w:val="22"/>
        </w:rPr>
      </w:pPr>
      <w:r w:rsidRPr="00990F27">
        <w:rPr>
          <w:rFonts w:eastAsiaTheme="minorHAnsi"/>
          <w:sz w:val="22"/>
        </w:rPr>
        <w:t>Cilj ovog Projekta je omogućiti razvoj i poboljšanje standarda pružanja vodnih usluga na području aglomeracije Dubrovnik.</w:t>
      </w:r>
    </w:p>
    <w:p w14:paraId="744EE3E0" w14:textId="77777777" w:rsidR="00A234C3" w:rsidRPr="00A234C3" w:rsidRDefault="00A234C3" w:rsidP="00990F27">
      <w:pPr>
        <w:spacing w:after="200" w:line="276" w:lineRule="auto"/>
        <w:ind w:left="0" w:firstLine="0"/>
        <w:rPr>
          <w:rFonts w:eastAsiaTheme="minorHAnsi"/>
          <w:sz w:val="22"/>
        </w:rPr>
      </w:pPr>
      <w:r w:rsidRPr="00A234C3">
        <w:rPr>
          <w:sz w:val="22"/>
        </w:rPr>
        <w:t>Projekt „Razvoj vodno-komunalne infrastrukture Dubrovnik“ planira se financirati sredstvima iz Operativnog programa Konkurentnost i kohezija 2014.-2020. Ukupna procijenjena vrijednost investicije (s PDV-om) iznosi 822.637.283,00 kn, odnosno 658.109.826,00 kn bez PDV-a te s obzirom da troškovi PDV-a nisu prihvatljivi troškovi za financiranje putem navedenog programa, isti su trošak investitora. Slijedom navedenog ukupni prihvatljivi troškovi iznose 658.109.826,00 kn, od čega bespovratna EU sredstva iznose 461.532.420,97 kn (70,13%), a nacionalna sredstva iznose 196.577.405,03 kn (29,87 %).</w:t>
      </w:r>
    </w:p>
    <w:p w14:paraId="744EE3E1" w14:textId="77777777" w:rsidR="00EB23D9" w:rsidRDefault="00EB23D9" w:rsidP="00990F27">
      <w:pPr>
        <w:spacing w:after="200" w:line="276" w:lineRule="auto"/>
        <w:ind w:left="0" w:firstLine="0"/>
        <w:rPr>
          <w:rFonts w:eastAsiaTheme="minorHAnsi"/>
          <w:sz w:val="22"/>
        </w:rPr>
      </w:pPr>
      <w:r w:rsidRPr="00990F27">
        <w:rPr>
          <w:rFonts w:eastAsiaTheme="minorHAnsi"/>
          <w:sz w:val="22"/>
        </w:rPr>
        <w:t>Konačna predložena vrijednost investicije te udio EU sufinanciranja biti će utvrđena po odgovarajućim korekcijama studije izvodljivosti koje su u tijeku.</w:t>
      </w:r>
    </w:p>
    <w:p w14:paraId="7DED106D" w14:textId="77777777" w:rsidR="00B27AF0" w:rsidRPr="00990F27" w:rsidRDefault="00B27AF0" w:rsidP="00990F27">
      <w:pPr>
        <w:spacing w:after="200" w:line="276" w:lineRule="auto"/>
        <w:ind w:left="0" w:firstLine="0"/>
        <w:rPr>
          <w:rFonts w:eastAsiaTheme="minorHAnsi"/>
          <w:sz w:val="22"/>
        </w:rPr>
      </w:pPr>
    </w:p>
    <w:p w14:paraId="744EE3E2" w14:textId="77777777" w:rsidR="00EB23D9" w:rsidRDefault="00EB23D9" w:rsidP="00EB23D9">
      <w:pPr>
        <w:spacing w:line="276" w:lineRule="auto"/>
        <w:ind w:left="0" w:firstLine="0"/>
        <w:rPr>
          <w:rFonts w:eastAsiaTheme="minorHAnsi"/>
          <w:sz w:val="22"/>
        </w:rPr>
      </w:pPr>
      <w:r w:rsidRPr="00EB23D9">
        <w:rPr>
          <w:rFonts w:eastAsiaTheme="minorHAnsi"/>
          <w:sz w:val="22"/>
        </w:rPr>
        <w:lastRenderedPageBreak/>
        <w:t>Planirano financiranje projekta po godinama:</w:t>
      </w:r>
    </w:p>
    <w:p w14:paraId="744EE3E3" w14:textId="77777777" w:rsidR="003E4CA2" w:rsidRPr="00EB23D9" w:rsidRDefault="003E4CA2" w:rsidP="00EB23D9">
      <w:pPr>
        <w:spacing w:line="276" w:lineRule="auto"/>
        <w:ind w:left="0" w:firstLine="0"/>
        <w:rPr>
          <w:rFonts w:eastAsiaTheme="minorHAnsi"/>
          <w:sz w:val="22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2040"/>
        <w:gridCol w:w="1140"/>
        <w:gridCol w:w="1020"/>
        <w:gridCol w:w="1020"/>
        <w:gridCol w:w="1020"/>
        <w:gridCol w:w="1020"/>
        <w:gridCol w:w="1020"/>
        <w:gridCol w:w="1260"/>
      </w:tblGrid>
      <w:tr w:rsidR="00FD2DBA" w:rsidRPr="00FD2DBA" w14:paraId="744EE3EB" w14:textId="77777777" w:rsidTr="00FD2DBA">
        <w:trPr>
          <w:trHeight w:val="315"/>
        </w:trPr>
        <w:tc>
          <w:tcPr>
            <w:tcW w:w="3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EE3E4" w14:textId="77777777" w:rsidR="00FD2DBA" w:rsidRPr="00FD2DBA" w:rsidRDefault="00FD2DBA" w:rsidP="00FD2DBA">
            <w:pPr>
              <w:ind w:left="0"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Financijeri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EE3E5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2019.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EE3E6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2020.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EE3E7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2021.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EE3E8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2022.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EE3E9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2023.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EE3EA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UKUPNO</w:t>
            </w:r>
          </w:p>
        </w:tc>
      </w:tr>
      <w:tr w:rsidR="00FD2DBA" w:rsidRPr="00FD2DBA" w14:paraId="744EE3F3" w14:textId="77777777" w:rsidTr="00FD2DBA">
        <w:trPr>
          <w:trHeight w:val="450"/>
        </w:trPr>
        <w:tc>
          <w:tcPr>
            <w:tcW w:w="3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EE3EC" w14:textId="77777777" w:rsidR="00FD2DBA" w:rsidRPr="00FD2DBA" w:rsidRDefault="00FD2DBA" w:rsidP="00FD2DBA">
            <w:pPr>
              <w:ind w:left="0"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Vodovod Dubrovnik d.o.o. (9,6%)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EE3ED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7.733.194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EE3EE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7.265.633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EE3EF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15.169.510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EE3F0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19.547.410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EE3F1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13.341.046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EE3F2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63.056.793</w:t>
            </w:r>
          </w:p>
        </w:tc>
      </w:tr>
      <w:tr w:rsidR="00FD2DBA" w:rsidRPr="00FD2DBA" w14:paraId="744EE3FB" w14:textId="77777777" w:rsidTr="00FD2DBA">
        <w:trPr>
          <w:trHeight w:val="450"/>
        </w:trPr>
        <w:tc>
          <w:tcPr>
            <w:tcW w:w="3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EE3F4" w14:textId="77777777" w:rsidR="00FD2DBA" w:rsidRPr="00FD2DBA" w:rsidRDefault="00FD2DBA" w:rsidP="00FD2DBA">
            <w:pPr>
              <w:ind w:left="0"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Hrvatske vode (HV) (9,6%)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EE3F5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7.733.194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EE3F6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7.265.633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EE3F7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15.169.510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EE3F8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19.547.410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EE3F9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13.341.046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EE3FA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63.056.793</w:t>
            </w:r>
          </w:p>
        </w:tc>
      </w:tr>
      <w:tr w:rsidR="00FD2DBA" w:rsidRPr="00FD2DBA" w14:paraId="744EE404" w14:textId="77777777" w:rsidTr="00FD2DBA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744EE3FC" w14:textId="77777777" w:rsidR="00FD2DBA" w:rsidRPr="00FD2DBA" w:rsidRDefault="00FD2DBA" w:rsidP="00FD2DBA">
            <w:pPr>
              <w:ind w:left="0" w:firstLine="0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K784038 OP Konkurentnost i kohezija 2014.-2020. pr. 5 i 6.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44EE3FD" w14:textId="77777777" w:rsidR="00FD2DBA" w:rsidRPr="00FD2DBA" w:rsidRDefault="00FD2DBA" w:rsidP="00FD2DBA">
            <w:pPr>
              <w:ind w:left="0" w:firstLine="0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DP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744EE3FE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7.733.194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744EE3FF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7.265.633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744EE400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15.169.510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744EE401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19.547.410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744EE402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13.341.046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744EE403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63.056.793</w:t>
            </w:r>
          </w:p>
        </w:tc>
      </w:tr>
      <w:tr w:rsidR="00FD2DBA" w:rsidRPr="00FD2DBA" w14:paraId="744EE40D" w14:textId="77777777" w:rsidTr="00FD2DB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EE405" w14:textId="77777777" w:rsidR="00FD2DBA" w:rsidRPr="00FD2DBA" w:rsidRDefault="00FD2DBA" w:rsidP="00FD2DBA">
            <w:pPr>
              <w:ind w:left="0"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44EE406" w14:textId="77777777" w:rsidR="00FD2DBA" w:rsidRPr="00FD2DBA" w:rsidRDefault="00FD2DBA" w:rsidP="00FD2DBA">
            <w:pPr>
              <w:ind w:left="0" w:firstLine="0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(9,6%)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EE407" w14:textId="77777777" w:rsidR="00FD2DBA" w:rsidRPr="00FD2DBA" w:rsidRDefault="00FD2DBA" w:rsidP="00FD2DBA">
            <w:pPr>
              <w:ind w:left="0"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EE408" w14:textId="77777777" w:rsidR="00FD2DBA" w:rsidRPr="00FD2DBA" w:rsidRDefault="00FD2DBA" w:rsidP="00FD2DBA">
            <w:pPr>
              <w:ind w:left="0"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EE409" w14:textId="77777777" w:rsidR="00FD2DBA" w:rsidRPr="00FD2DBA" w:rsidRDefault="00FD2DBA" w:rsidP="00FD2DBA">
            <w:pPr>
              <w:ind w:left="0"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EE40A" w14:textId="77777777" w:rsidR="00FD2DBA" w:rsidRPr="00FD2DBA" w:rsidRDefault="00FD2DBA" w:rsidP="00FD2DBA">
            <w:pPr>
              <w:ind w:left="0"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EE40B" w14:textId="77777777" w:rsidR="00FD2DBA" w:rsidRPr="00FD2DBA" w:rsidRDefault="00FD2DBA" w:rsidP="00FD2DBA">
            <w:pPr>
              <w:ind w:left="0"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EE40C" w14:textId="77777777" w:rsidR="00FD2DBA" w:rsidRPr="00FD2DBA" w:rsidRDefault="00FD2DBA" w:rsidP="00FD2DBA">
            <w:pPr>
              <w:ind w:left="0"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FD2DBA" w:rsidRPr="00FD2DBA" w14:paraId="744EE416" w14:textId="77777777" w:rsidTr="00FD2DBA">
        <w:trPr>
          <w:trHeight w:val="495"/>
        </w:trPr>
        <w:tc>
          <w:tcPr>
            <w:tcW w:w="2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EE40E" w14:textId="77777777" w:rsidR="00FD2DBA" w:rsidRPr="00FD2DBA" w:rsidRDefault="00FD2DBA" w:rsidP="00FD2DBA">
            <w:pPr>
              <w:ind w:left="0"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44EE40F" w14:textId="77777777" w:rsidR="00FD2DBA" w:rsidRPr="00FD2DBA" w:rsidRDefault="00FD2DBA" w:rsidP="00FD2DBA">
            <w:pPr>
              <w:ind w:left="0" w:firstLine="0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EU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744EE410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57.510.054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744EE411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54.032.905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744EE412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112.812.298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744EE413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145.369.773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744EE414" w14:textId="77777777" w:rsidR="00FD2DBA" w:rsidRPr="00FD2DBA" w:rsidRDefault="00FD2DBA" w:rsidP="00240D21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99.214.41</w:t>
            </w:r>
            <w:r w:rsidR="00240D21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744EE415" w14:textId="77777777" w:rsidR="00FD2DBA" w:rsidRPr="00FD2DBA" w:rsidRDefault="00FD2DBA" w:rsidP="00FD2DBA">
            <w:pPr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FD2DBA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468.939.447</w:t>
            </w:r>
          </w:p>
        </w:tc>
      </w:tr>
    </w:tbl>
    <w:p w14:paraId="744EE417" w14:textId="77777777" w:rsidR="00EB23D9" w:rsidRPr="00EB23D9" w:rsidRDefault="00EB23D9" w:rsidP="00EB23D9">
      <w:pPr>
        <w:spacing w:line="276" w:lineRule="auto"/>
        <w:rPr>
          <w:rFonts w:eastAsiaTheme="minorHAnsi"/>
          <w:sz w:val="22"/>
        </w:rPr>
      </w:pPr>
    </w:p>
    <w:p w14:paraId="744EE418" w14:textId="77777777" w:rsidR="00EB23D9" w:rsidRPr="00EB23D9" w:rsidRDefault="00EB23D9" w:rsidP="00EB23D9">
      <w:pPr>
        <w:spacing w:line="276" w:lineRule="auto"/>
        <w:rPr>
          <w:rFonts w:eastAsiaTheme="minorHAnsi"/>
          <w:sz w:val="16"/>
          <w:szCs w:val="16"/>
        </w:rPr>
      </w:pPr>
    </w:p>
    <w:p w14:paraId="744EE419" w14:textId="77777777" w:rsidR="00172D23" w:rsidRPr="001E2401" w:rsidRDefault="00172D23" w:rsidP="00172D23">
      <w:pPr>
        <w:ind w:left="0" w:firstLine="0"/>
        <w:rPr>
          <w:rFonts w:eastAsiaTheme="minorHAnsi"/>
        </w:rPr>
      </w:pPr>
      <w:r w:rsidRPr="001E2401">
        <w:rPr>
          <w:rFonts w:eastAsiaTheme="minorHAnsi"/>
        </w:rPr>
        <w:t>Sufinanciranje dijela nacionalne komponente koje se odnosi na Hrvatske vode osigurano je putem Plana upravljanja vodama Hrvatskih voda iz izvornih sredstava (naknade za zaštitu voda i naknade za korištenje voda).</w:t>
      </w:r>
    </w:p>
    <w:p w14:paraId="744EE41A" w14:textId="77777777" w:rsidR="00172D23" w:rsidRPr="001E2401" w:rsidRDefault="00172D23" w:rsidP="00172D23">
      <w:pPr>
        <w:rPr>
          <w:rFonts w:eastAsiaTheme="minorHAnsi"/>
        </w:rPr>
      </w:pPr>
    </w:p>
    <w:p w14:paraId="744EE41B" w14:textId="77777777" w:rsidR="00172D23" w:rsidRPr="00F31EB8" w:rsidRDefault="00172D23" w:rsidP="00172D23">
      <w:pPr>
        <w:ind w:left="0" w:firstLine="0"/>
        <w:rPr>
          <w:rFonts w:eastAsiaTheme="minorHAnsi"/>
        </w:rPr>
      </w:pPr>
      <w:r w:rsidRPr="001E2401">
        <w:rPr>
          <w:rFonts w:eastAsiaTheme="minorHAnsi"/>
        </w:rPr>
        <w:t xml:space="preserve">Vezano uz sufinanciranje komponente koja se odnosi na Državni proračun, planom Državnog proračuna za razdoblje 2018.-2020.g. na razdjelu Ministarstva zaštite okoliša i energetike 077, aktivnosti K784038 OP Konkurentnost i kohezija 2014.-2020.g., </w:t>
      </w:r>
      <w:r w:rsidRPr="00E4075B">
        <w:rPr>
          <w:rFonts w:eastAsiaTheme="minorHAnsi"/>
        </w:rPr>
        <w:t>prioriteti 5. i 6. planirana su sredstva za financiranje provedbe svih projekata razvoja vodno</w:t>
      </w:r>
      <w:r>
        <w:rPr>
          <w:rFonts w:eastAsiaTheme="minorHAnsi"/>
        </w:rPr>
        <w:t>-</w:t>
      </w:r>
      <w:r w:rsidRPr="00E4075B">
        <w:rPr>
          <w:rFonts w:eastAsiaTheme="minorHAnsi"/>
        </w:rPr>
        <w:t>komunalne infrastrukture, uključujući i ovaj projekt, u iznosima kako slijedi:</w:t>
      </w:r>
    </w:p>
    <w:p w14:paraId="744EE41C" w14:textId="77777777" w:rsidR="00EB23D9" w:rsidRDefault="00EB23D9" w:rsidP="00AD49AB">
      <w:pPr>
        <w:spacing w:after="200" w:line="276" w:lineRule="auto"/>
        <w:ind w:left="0" w:firstLine="0"/>
        <w:rPr>
          <w:rFonts w:eastAsiaTheme="minorHAnsi"/>
          <w:sz w:val="22"/>
        </w:rPr>
      </w:pPr>
    </w:p>
    <w:tbl>
      <w:tblPr>
        <w:tblStyle w:val="TableGrid"/>
        <w:tblpPr w:leftFromText="180" w:rightFromText="180" w:vertAnchor="text" w:horzAnchor="page" w:tblpX="1239" w:tblpY="7"/>
        <w:tblW w:w="0" w:type="auto"/>
        <w:tblLook w:val="04A0" w:firstRow="1" w:lastRow="0" w:firstColumn="1" w:lastColumn="0" w:noHBand="0" w:noVBand="1"/>
      </w:tblPr>
      <w:tblGrid>
        <w:gridCol w:w="1587"/>
        <w:gridCol w:w="1493"/>
      </w:tblGrid>
      <w:tr w:rsidR="00172D23" w:rsidRPr="006463A7" w14:paraId="744EE41F" w14:textId="77777777" w:rsidTr="001669C7">
        <w:tc>
          <w:tcPr>
            <w:tcW w:w="1587" w:type="dxa"/>
          </w:tcPr>
          <w:p w14:paraId="744EE41D" w14:textId="77777777" w:rsidR="00172D23" w:rsidRPr="00D14DFB" w:rsidRDefault="00172D23" w:rsidP="001669C7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 w:rsidRPr="00D14DFB">
              <w:rPr>
                <w:rFonts w:eastAsiaTheme="minorHAnsi"/>
                <w:sz w:val="16"/>
                <w:szCs w:val="16"/>
              </w:rPr>
              <w:t>izvor</w:t>
            </w:r>
          </w:p>
        </w:tc>
        <w:tc>
          <w:tcPr>
            <w:tcW w:w="0" w:type="auto"/>
          </w:tcPr>
          <w:p w14:paraId="744EE41E" w14:textId="77777777" w:rsidR="00172D23" w:rsidRPr="00D14DFB" w:rsidRDefault="00172D23" w:rsidP="001669C7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 w:rsidRPr="00D14DFB">
              <w:rPr>
                <w:rFonts w:eastAsiaTheme="minorHAnsi"/>
                <w:sz w:val="16"/>
                <w:szCs w:val="16"/>
              </w:rPr>
              <w:t>2020</w:t>
            </w:r>
          </w:p>
        </w:tc>
      </w:tr>
      <w:tr w:rsidR="00172D23" w:rsidRPr="006463A7" w14:paraId="744EE425" w14:textId="77777777" w:rsidTr="001669C7">
        <w:tc>
          <w:tcPr>
            <w:tcW w:w="1587" w:type="dxa"/>
            <w:vAlign w:val="center"/>
          </w:tcPr>
          <w:p w14:paraId="744EE420" w14:textId="77777777" w:rsidR="00172D23" w:rsidRPr="00D14DFB" w:rsidRDefault="00172D23" w:rsidP="00557F49">
            <w:pPr>
              <w:ind w:left="0" w:firstLine="0"/>
              <w:jc w:val="left"/>
              <w:rPr>
                <w:rFonts w:eastAsiaTheme="minorHAnsi"/>
                <w:sz w:val="16"/>
                <w:szCs w:val="16"/>
              </w:rPr>
            </w:pPr>
            <w:r w:rsidRPr="00D14DFB">
              <w:rPr>
                <w:rFonts w:eastAsiaTheme="minorHAnsi"/>
                <w:sz w:val="16"/>
                <w:szCs w:val="16"/>
              </w:rPr>
              <w:t>izvor 12 (sredstva učešća)</w:t>
            </w:r>
          </w:p>
          <w:p w14:paraId="744EE421" w14:textId="77777777" w:rsidR="00172D23" w:rsidRPr="00D14DFB" w:rsidRDefault="00172D23" w:rsidP="00557F49">
            <w:pPr>
              <w:ind w:left="0" w:firstLine="0"/>
              <w:jc w:val="left"/>
              <w:rPr>
                <w:rFonts w:eastAsiaTheme="minorHAnsi"/>
                <w:sz w:val="16"/>
                <w:szCs w:val="16"/>
              </w:rPr>
            </w:pPr>
          </w:p>
          <w:p w14:paraId="744EE422" w14:textId="77777777" w:rsidR="00172D23" w:rsidRPr="00D14DFB" w:rsidRDefault="00172D23" w:rsidP="00557F49">
            <w:pPr>
              <w:ind w:left="0" w:firstLine="0"/>
              <w:jc w:val="left"/>
              <w:rPr>
                <w:rFonts w:eastAsiaTheme="minorHAnsi"/>
                <w:sz w:val="16"/>
                <w:szCs w:val="16"/>
              </w:rPr>
            </w:pPr>
            <w:r w:rsidRPr="00D14DFB">
              <w:rPr>
                <w:rFonts w:eastAsiaTheme="minorHAnsi"/>
                <w:sz w:val="16"/>
                <w:szCs w:val="16"/>
              </w:rPr>
              <w:t xml:space="preserve">konto 3632 </w:t>
            </w:r>
          </w:p>
          <w:p w14:paraId="744EE423" w14:textId="77777777" w:rsidR="00172D23" w:rsidRPr="00D14DFB" w:rsidRDefault="00172D23" w:rsidP="00557F49">
            <w:pPr>
              <w:spacing w:after="200" w:line="276" w:lineRule="auto"/>
              <w:ind w:left="357" w:firstLine="0"/>
              <w:jc w:val="left"/>
              <w:rPr>
                <w:rFonts w:eastAsiaTheme="minorHAnsi"/>
                <w:sz w:val="16"/>
                <w:szCs w:val="16"/>
              </w:rPr>
            </w:pPr>
            <w:r w:rsidRPr="00D14DFB">
              <w:rPr>
                <w:rFonts w:eastAsiaTheme="minorHAnsi"/>
                <w:sz w:val="16"/>
                <w:szCs w:val="16"/>
              </w:rPr>
              <w:t>(kapitalne pomoći unutar općeg proračuna)</w:t>
            </w:r>
          </w:p>
        </w:tc>
        <w:tc>
          <w:tcPr>
            <w:tcW w:w="0" w:type="auto"/>
            <w:vAlign w:val="center"/>
          </w:tcPr>
          <w:p w14:paraId="744EE424" w14:textId="77777777" w:rsidR="00172D23" w:rsidRPr="00172D23" w:rsidRDefault="00172D23" w:rsidP="001669C7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172D23">
              <w:rPr>
                <w:rFonts w:eastAsiaTheme="minorHAnsi"/>
                <w:bCs/>
                <w:sz w:val="16"/>
                <w:szCs w:val="16"/>
              </w:rPr>
              <w:t>4.966.411</w:t>
            </w:r>
            <w:r>
              <w:rPr>
                <w:rFonts w:eastAsiaTheme="minorHAnsi"/>
                <w:bCs/>
                <w:sz w:val="16"/>
                <w:szCs w:val="16"/>
              </w:rPr>
              <w:t>,00</w:t>
            </w:r>
          </w:p>
        </w:tc>
      </w:tr>
      <w:tr w:rsidR="00172D23" w:rsidRPr="006463A7" w14:paraId="744EE42B" w14:textId="77777777" w:rsidTr="00557F49">
        <w:trPr>
          <w:trHeight w:val="2174"/>
        </w:trPr>
        <w:tc>
          <w:tcPr>
            <w:tcW w:w="1587" w:type="dxa"/>
            <w:vAlign w:val="center"/>
          </w:tcPr>
          <w:p w14:paraId="744EE426" w14:textId="77777777" w:rsidR="00172D23" w:rsidRPr="00D14DFB" w:rsidRDefault="00172D23" w:rsidP="00557F49">
            <w:pPr>
              <w:ind w:left="0" w:firstLine="0"/>
              <w:jc w:val="left"/>
              <w:rPr>
                <w:rFonts w:eastAsiaTheme="minorHAnsi"/>
                <w:sz w:val="16"/>
                <w:szCs w:val="16"/>
              </w:rPr>
            </w:pPr>
            <w:r w:rsidRPr="00D14DFB">
              <w:rPr>
                <w:rFonts w:eastAsiaTheme="minorHAnsi"/>
                <w:sz w:val="16"/>
                <w:szCs w:val="16"/>
              </w:rPr>
              <w:t>izvor 562 (kohezijski fond)</w:t>
            </w:r>
          </w:p>
          <w:p w14:paraId="744EE427" w14:textId="77777777" w:rsidR="00172D23" w:rsidRPr="00D14DFB" w:rsidRDefault="00172D23" w:rsidP="00557F49">
            <w:pPr>
              <w:ind w:left="0" w:firstLine="0"/>
              <w:jc w:val="left"/>
              <w:rPr>
                <w:rFonts w:eastAsiaTheme="minorHAnsi"/>
                <w:sz w:val="16"/>
                <w:szCs w:val="16"/>
              </w:rPr>
            </w:pPr>
          </w:p>
          <w:p w14:paraId="744EE428" w14:textId="77777777" w:rsidR="00172D23" w:rsidRPr="00D14DFB" w:rsidRDefault="00172D23" w:rsidP="00557F49">
            <w:pPr>
              <w:ind w:left="0" w:firstLine="0"/>
              <w:jc w:val="left"/>
              <w:rPr>
                <w:rFonts w:eastAsiaTheme="minorHAnsi"/>
                <w:sz w:val="16"/>
                <w:szCs w:val="16"/>
              </w:rPr>
            </w:pPr>
            <w:r w:rsidRPr="00D14DFB">
              <w:rPr>
                <w:rFonts w:eastAsiaTheme="minorHAnsi"/>
                <w:sz w:val="16"/>
                <w:szCs w:val="16"/>
              </w:rPr>
              <w:t>konto 3682</w:t>
            </w:r>
          </w:p>
          <w:p w14:paraId="744EE429" w14:textId="77777777" w:rsidR="00172D23" w:rsidRPr="00D14DFB" w:rsidRDefault="00172D23" w:rsidP="00C43B35">
            <w:pPr>
              <w:spacing w:after="200" w:line="276" w:lineRule="auto"/>
              <w:ind w:left="357" w:firstLine="0"/>
              <w:jc w:val="left"/>
              <w:rPr>
                <w:rFonts w:eastAsiaTheme="minorHAnsi"/>
                <w:sz w:val="16"/>
                <w:szCs w:val="16"/>
              </w:rPr>
            </w:pPr>
            <w:r w:rsidRPr="00D14DFB">
              <w:rPr>
                <w:rFonts w:eastAsiaTheme="minorHAnsi"/>
                <w:sz w:val="16"/>
                <w:szCs w:val="16"/>
              </w:rPr>
              <w:t>(kapitalne pomoći temeljem prijenosa EU sredstava</w:t>
            </w:r>
          </w:p>
        </w:tc>
        <w:tc>
          <w:tcPr>
            <w:tcW w:w="0" w:type="auto"/>
            <w:vAlign w:val="center"/>
          </w:tcPr>
          <w:p w14:paraId="744EE42A" w14:textId="77777777" w:rsidR="00172D23" w:rsidRPr="00172D23" w:rsidRDefault="00172D23" w:rsidP="001669C7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172D23">
              <w:rPr>
                <w:rFonts w:eastAsiaTheme="minorHAnsi"/>
                <w:bCs/>
                <w:sz w:val="16"/>
                <w:szCs w:val="16"/>
              </w:rPr>
              <w:t>34.987.460</w:t>
            </w:r>
            <w:r>
              <w:rPr>
                <w:rFonts w:eastAsiaTheme="minorHAnsi"/>
                <w:bCs/>
                <w:sz w:val="16"/>
                <w:szCs w:val="16"/>
              </w:rPr>
              <w:t>,00</w:t>
            </w:r>
          </w:p>
        </w:tc>
      </w:tr>
    </w:tbl>
    <w:p w14:paraId="744EE42C" w14:textId="77777777" w:rsidR="001669C7" w:rsidRPr="006463A7" w:rsidRDefault="001669C7" w:rsidP="001669C7">
      <w:pPr>
        <w:spacing w:line="276" w:lineRule="auto"/>
        <w:rPr>
          <w:rFonts w:eastAsiaTheme="minorHAnsi"/>
        </w:rPr>
      </w:pPr>
    </w:p>
    <w:p w14:paraId="744EE42D" w14:textId="77777777" w:rsidR="001669C7" w:rsidRPr="006463A7" w:rsidRDefault="001669C7" w:rsidP="001669C7">
      <w:pPr>
        <w:spacing w:line="276" w:lineRule="auto"/>
        <w:rPr>
          <w:rFonts w:eastAsiaTheme="minorHAnsi"/>
        </w:rPr>
      </w:pPr>
    </w:p>
    <w:p w14:paraId="744EE42E" w14:textId="77777777" w:rsidR="001669C7" w:rsidRPr="006463A7" w:rsidRDefault="001669C7" w:rsidP="001669C7">
      <w:pPr>
        <w:spacing w:line="276" w:lineRule="auto"/>
        <w:rPr>
          <w:rFonts w:eastAsiaTheme="minorHAnsi"/>
        </w:rPr>
      </w:pPr>
    </w:p>
    <w:p w14:paraId="744EE42F" w14:textId="77777777" w:rsidR="001669C7" w:rsidRPr="006463A7" w:rsidRDefault="001669C7" w:rsidP="001669C7">
      <w:pPr>
        <w:spacing w:line="276" w:lineRule="auto"/>
        <w:rPr>
          <w:rFonts w:eastAsiaTheme="minorHAnsi"/>
        </w:rPr>
      </w:pPr>
    </w:p>
    <w:p w14:paraId="744EE430" w14:textId="77777777" w:rsidR="001669C7" w:rsidRDefault="001669C7" w:rsidP="001669C7">
      <w:pPr>
        <w:spacing w:line="276" w:lineRule="auto"/>
        <w:rPr>
          <w:rFonts w:eastAsiaTheme="minorHAnsi"/>
        </w:rPr>
      </w:pPr>
    </w:p>
    <w:p w14:paraId="744EE431" w14:textId="77777777" w:rsidR="001669C7" w:rsidRDefault="001669C7" w:rsidP="001669C7">
      <w:pPr>
        <w:spacing w:line="276" w:lineRule="auto"/>
        <w:rPr>
          <w:rFonts w:eastAsiaTheme="minorHAnsi"/>
        </w:rPr>
      </w:pPr>
    </w:p>
    <w:p w14:paraId="744EE432" w14:textId="77777777" w:rsidR="001669C7" w:rsidRDefault="001669C7" w:rsidP="001669C7">
      <w:pPr>
        <w:spacing w:line="276" w:lineRule="auto"/>
        <w:rPr>
          <w:rFonts w:eastAsiaTheme="minorHAnsi"/>
        </w:rPr>
      </w:pPr>
    </w:p>
    <w:p w14:paraId="744EE433" w14:textId="77777777" w:rsidR="001669C7" w:rsidRDefault="001669C7" w:rsidP="001669C7">
      <w:pPr>
        <w:spacing w:line="276" w:lineRule="auto"/>
        <w:rPr>
          <w:rFonts w:eastAsiaTheme="minorHAnsi"/>
        </w:rPr>
      </w:pPr>
    </w:p>
    <w:p w14:paraId="744EE434" w14:textId="77777777" w:rsidR="001669C7" w:rsidRDefault="001669C7" w:rsidP="0022434A">
      <w:pPr>
        <w:spacing w:after="200" w:line="276" w:lineRule="auto"/>
        <w:ind w:left="0" w:firstLine="0"/>
        <w:rPr>
          <w:rFonts w:eastAsiaTheme="minorHAnsi"/>
          <w:sz w:val="22"/>
        </w:rPr>
      </w:pPr>
    </w:p>
    <w:p w14:paraId="744EE435" w14:textId="77777777" w:rsidR="001669C7" w:rsidRDefault="001669C7" w:rsidP="0022434A">
      <w:pPr>
        <w:spacing w:after="200" w:line="276" w:lineRule="auto"/>
        <w:ind w:left="0" w:firstLine="0"/>
        <w:rPr>
          <w:rFonts w:eastAsiaTheme="minorHAnsi"/>
          <w:sz w:val="22"/>
        </w:rPr>
      </w:pPr>
    </w:p>
    <w:p w14:paraId="744EE436" w14:textId="77777777" w:rsidR="00557F49" w:rsidRDefault="00557F49" w:rsidP="0022434A">
      <w:pPr>
        <w:spacing w:after="200" w:line="276" w:lineRule="auto"/>
        <w:ind w:left="0" w:firstLine="0"/>
        <w:rPr>
          <w:rFonts w:eastAsiaTheme="minorHAnsi"/>
          <w:sz w:val="22"/>
        </w:rPr>
      </w:pPr>
    </w:p>
    <w:p w14:paraId="744EE437" w14:textId="77777777" w:rsidR="00557F49" w:rsidRDefault="00557F49" w:rsidP="0022434A">
      <w:pPr>
        <w:spacing w:after="200" w:line="276" w:lineRule="auto"/>
        <w:ind w:left="0" w:firstLine="0"/>
        <w:rPr>
          <w:rFonts w:eastAsiaTheme="minorHAnsi"/>
          <w:sz w:val="22"/>
        </w:rPr>
      </w:pPr>
    </w:p>
    <w:p w14:paraId="744EE438" w14:textId="77777777" w:rsidR="00557F49" w:rsidRDefault="00557F49" w:rsidP="0022434A">
      <w:pPr>
        <w:spacing w:after="200" w:line="276" w:lineRule="auto"/>
        <w:ind w:left="0" w:firstLine="0"/>
        <w:rPr>
          <w:rFonts w:eastAsiaTheme="minorHAnsi"/>
          <w:sz w:val="22"/>
        </w:rPr>
      </w:pPr>
    </w:p>
    <w:p w14:paraId="744EE439" w14:textId="77777777" w:rsidR="0022434A" w:rsidRPr="004B7834" w:rsidRDefault="0022434A" w:rsidP="0022434A">
      <w:pPr>
        <w:spacing w:after="200" w:line="276" w:lineRule="auto"/>
        <w:ind w:left="0" w:firstLine="0"/>
        <w:rPr>
          <w:rFonts w:eastAsiaTheme="minorHAnsi"/>
          <w:sz w:val="22"/>
        </w:rPr>
      </w:pPr>
      <w:r w:rsidRPr="004B7834">
        <w:rPr>
          <w:rFonts w:eastAsiaTheme="minorHAnsi"/>
          <w:sz w:val="22"/>
        </w:rPr>
        <w:t xml:space="preserve">Povjerenstvo je na sjednici održanoj </w:t>
      </w:r>
      <w:r w:rsidR="00C52E11">
        <w:rPr>
          <w:rFonts w:eastAsiaTheme="minorHAnsi"/>
          <w:sz w:val="22"/>
        </w:rPr>
        <w:t>20. rujna</w:t>
      </w:r>
      <w:r w:rsidRPr="00DF35F1">
        <w:rPr>
          <w:rFonts w:eastAsiaTheme="minorHAnsi"/>
          <w:sz w:val="22"/>
        </w:rPr>
        <w:t xml:space="preserve"> </w:t>
      </w:r>
      <w:r w:rsidR="00372914">
        <w:rPr>
          <w:rFonts w:eastAsiaTheme="minorHAnsi"/>
          <w:sz w:val="22"/>
        </w:rPr>
        <w:t>2018</w:t>
      </w:r>
      <w:r w:rsidRPr="004B7834">
        <w:rPr>
          <w:rFonts w:eastAsiaTheme="minorHAnsi"/>
          <w:sz w:val="22"/>
        </w:rPr>
        <w:t xml:space="preserve">. godine prihvatilo Prijedlog za pokretanje postupka donošenja Odluke Vlade Republike Hrvatske o proglašenju </w:t>
      </w:r>
      <w:r w:rsidR="00372914">
        <w:rPr>
          <w:rFonts w:eastAsiaTheme="minorHAnsi"/>
          <w:sz w:val="22"/>
        </w:rPr>
        <w:t>P</w:t>
      </w:r>
      <w:r w:rsidRPr="004B7834">
        <w:rPr>
          <w:rFonts w:eastAsiaTheme="minorHAnsi"/>
          <w:sz w:val="22"/>
        </w:rPr>
        <w:t>rojekta strateškim investicijskim projektom Republike Hrvatske.</w:t>
      </w:r>
    </w:p>
    <w:p w14:paraId="744EE43A" w14:textId="77777777" w:rsidR="00B36CC1" w:rsidRDefault="00B36CC1" w:rsidP="00172D23">
      <w:pPr>
        <w:spacing w:after="200" w:line="276" w:lineRule="auto"/>
        <w:ind w:left="0" w:firstLine="0"/>
        <w:rPr>
          <w:rFonts w:eastAsiaTheme="minorHAnsi"/>
          <w:b/>
          <w:sz w:val="22"/>
        </w:rPr>
      </w:pPr>
      <w:r w:rsidRPr="004B7834">
        <w:rPr>
          <w:rFonts w:eastAsiaTheme="minorHAnsi"/>
          <w:sz w:val="22"/>
        </w:rPr>
        <w:lastRenderedPageBreak/>
        <w:t>U</w:t>
      </w:r>
      <w:r>
        <w:rPr>
          <w:rFonts w:eastAsiaTheme="minorHAnsi"/>
          <w:sz w:val="22"/>
        </w:rPr>
        <w:t xml:space="preserve"> skladu s naprijed navedenim </w:t>
      </w:r>
      <w:r w:rsidRPr="004B7834">
        <w:rPr>
          <w:rFonts w:eastAsiaTheme="minorHAnsi"/>
          <w:sz w:val="22"/>
        </w:rPr>
        <w:t>sukladno članku 1</w:t>
      </w:r>
      <w:r w:rsidR="00FD5AB2">
        <w:rPr>
          <w:rFonts w:eastAsiaTheme="minorHAnsi"/>
          <w:sz w:val="22"/>
        </w:rPr>
        <w:t>4</w:t>
      </w:r>
      <w:r w:rsidRPr="004B7834">
        <w:rPr>
          <w:rFonts w:eastAsiaTheme="minorHAnsi"/>
          <w:sz w:val="22"/>
        </w:rPr>
        <w:t>. Zakona, na prijedlog Povjerenstva, Vlada Republike Hrvatske donosi odluku o proglašenju projekta pod nazivom „</w:t>
      </w:r>
      <w:r w:rsidR="00172D23" w:rsidRPr="00E27CB5">
        <w:rPr>
          <w:sz w:val="22"/>
        </w:rPr>
        <w:t>Razvoj vodno-komunalne infrastrukture Dubrovnik</w:t>
      </w:r>
      <w:r w:rsidRPr="004B7834">
        <w:rPr>
          <w:rFonts w:eastAsiaTheme="minorHAnsi"/>
          <w:sz w:val="22"/>
        </w:rPr>
        <w:t>“ strateškim investicijskim projektom Republike Hrvatske.</w:t>
      </w:r>
    </w:p>
    <w:sectPr w:rsidR="00B36CC1" w:rsidSect="00966BF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28160" w14:textId="77777777" w:rsidR="0018167B" w:rsidRDefault="0018167B" w:rsidP="002A6216">
      <w:r>
        <w:separator/>
      </w:r>
    </w:p>
  </w:endnote>
  <w:endnote w:type="continuationSeparator" w:id="0">
    <w:p w14:paraId="02151D5B" w14:textId="77777777" w:rsidR="0018167B" w:rsidRDefault="0018167B" w:rsidP="002A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6D19A" w14:textId="77777777" w:rsidR="0018167B" w:rsidRDefault="0018167B" w:rsidP="002A6216">
      <w:r>
        <w:separator/>
      </w:r>
    </w:p>
  </w:footnote>
  <w:footnote w:type="continuationSeparator" w:id="0">
    <w:p w14:paraId="47A3FC4C" w14:textId="77777777" w:rsidR="0018167B" w:rsidRDefault="0018167B" w:rsidP="002A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EE43F" w14:textId="77777777" w:rsidR="00F70CEA" w:rsidRDefault="00F70CEA" w:rsidP="00235B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DF0"/>
    <w:multiLevelType w:val="hybridMultilevel"/>
    <w:tmpl w:val="58960B92"/>
    <w:lvl w:ilvl="0" w:tplc="505AF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057D0"/>
    <w:multiLevelType w:val="hybridMultilevel"/>
    <w:tmpl w:val="09ECF4AC"/>
    <w:lvl w:ilvl="0" w:tplc="14FE9F4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5671F"/>
    <w:multiLevelType w:val="hybridMultilevel"/>
    <w:tmpl w:val="CFCC5228"/>
    <w:lvl w:ilvl="0" w:tplc="0BF2C35C"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5750"/>
    <w:multiLevelType w:val="hybridMultilevel"/>
    <w:tmpl w:val="FCC253FE"/>
    <w:lvl w:ilvl="0" w:tplc="0BF2C35C"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2396"/>
    <w:multiLevelType w:val="hybridMultilevel"/>
    <w:tmpl w:val="A366027A"/>
    <w:lvl w:ilvl="0" w:tplc="7D78CF5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D1314D"/>
    <w:multiLevelType w:val="hybridMultilevel"/>
    <w:tmpl w:val="994C7506"/>
    <w:lvl w:ilvl="0" w:tplc="FDCE7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FF6581"/>
    <w:multiLevelType w:val="hybridMultilevel"/>
    <w:tmpl w:val="BBF65FF2"/>
    <w:lvl w:ilvl="0" w:tplc="93689B34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606F5BC4"/>
    <w:multiLevelType w:val="hybridMultilevel"/>
    <w:tmpl w:val="6C101D70"/>
    <w:lvl w:ilvl="0" w:tplc="0BF2C35C"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A1474"/>
    <w:multiLevelType w:val="hybridMultilevel"/>
    <w:tmpl w:val="7D3253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B4"/>
    <w:rsid w:val="0000369B"/>
    <w:rsid w:val="00006A7B"/>
    <w:rsid w:val="00006E7A"/>
    <w:rsid w:val="00010557"/>
    <w:rsid w:val="000145FD"/>
    <w:rsid w:val="0001491E"/>
    <w:rsid w:val="00020654"/>
    <w:rsid w:val="0002189E"/>
    <w:rsid w:val="000229E4"/>
    <w:rsid w:val="0004469F"/>
    <w:rsid w:val="00055599"/>
    <w:rsid w:val="000636C9"/>
    <w:rsid w:val="000662C6"/>
    <w:rsid w:val="000B6FA5"/>
    <w:rsid w:val="000D4094"/>
    <w:rsid w:val="000D62E3"/>
    <w:rsid w:val="000D6865"/>
    <w:rsid w:val="000E29E0"/>
    <w:rsid w:val="00105898"/>
    <w:rsid w:val="00111C31"/>
    <w:rsid w:val="00120F6E"/>
    <w:rsid w:val="001411FE"/>
    <w:rsid w:val="00145478"/>
    <w:rsid w:val="0015041A"/>
    <w:rsid w:val="001505AA"/>
    <w:rsid w:val="001525BC"/>
    <w:rsid w:val="001669C7"/>
    <w:rsid w:val="00166B2C"/>
    <w:rsid w:val="001712BE"/>
    <w:rsid w:val="001728E6"/>
    <w:rsid w:val="00172D23"/>
    <w:rsid w:val="0018167B"/>
    <w:rsid w:val="00190894"/>
    <w:rsid w:val="00192F6D"/>
    <w:rsid w:val="001A2F35"/>
    <w:rsid w:val="001A3C7B"/>
    <w:rsid w:val="001A4304"/>
    <w:rsid w:val="001C09B1"/>
    <w:rsid w:val="001C78B0"/>
    <w:rsid w:val="001D3D82"/>
    <w:rsid w:val="00206EA5"/>
    <w:rsid w:val="002202DD"/>
    <w:rsid w:val="00222E27"/>
    <w:rsid w:val="002242FA"/>
    <w:rsid w:val="0022434A"/>
    <w:rsid w:val="00231487"/>
    <w:rsid w:val="00235BC7"/>
    <w:rsid w:val="00240D21"/>
    <w:rsid w:val="002434F6"/>
    <w:rsid w:val="002539F4"/>
    <w:rsid w:val="002559AC"/>
    <w:rsid w:val="00266B60"/>
    <w:rsid w:val="00273927"/>
    <w:rsid w:val="002A5FCC"/>
    <w:rsid w:val="002A6216"/>
    <w:rsid w:val="002A6DAD"/>
    <w:rsid w:val="002B4ADB"/>
    <w:rsid w:val="002B7837"/>
    <w:rsid w:val="002C1B0E"/>
    <w:rsid w:val="002F3644"/>
    <w:rsid w:val="002F5D10"/>
    <w:rsid w:val="002F7262"/>
    <w:rsid w:val="00306B3C"/>
    <w:rsid w:val="003118EC"/>
    <w:rsid w:val="003243F2"/>
    <w:rsid w:val="0032600C"/>
    <w:rsid w:val="00326B02"/>
    <w:rsid w:val="00331C01"/>
    <w:rsid w:val="0034335E"/>
    <w:rsid w:val="003515F9"/>
    <w:rsid w:val="0036175F"/>
    <w:rsid w:val="00372914"/>
    <w:rsid w:val="0037397D"/>
    <w:rsid w:val="0037792A"/>
    <w:rsid w:val="00377BA5"/>
    <w:rsid w:val="00387D38"/>
    <w:rsid w:val="0039518D"/>
    <w:rsid w:val="003A3089"/>
    <w:rsid w:val="003A5B6C"/>
    <w:rsid w:val="003B3FB2"/>
    <w:rsid w:val="003C447C"/>
    <w:rsid w:val="003D21DC"/>
    <w:rsid w:val="003E4CA2"/>
    <w:rsid w:val="003F2064"/>
    <w:rsid w:val="003F5A8D"/>
    <w:rsid w:val="00402C54"/>
    <w:rsid w:val="004065DB"/>
    <w:rsid w:val="00411D9B"/>
    <w:rsid w:val="00413677"/>
    <w:rsid w:val="00417CDA"/>
    <w:rsid w:val="00421966"/>
    <w:rsid w:val="004226C6"/>
    <w:rsid w:val="00423EEE"/>
    <w:rsid w:val="004336E3"/>
    <w:rsid w:val="00433FEA"/>
    <w:rsid w:val="004344F6"/>
    <w:rsid w:val="00434F28"/>
    <w:rsid w:val="004374E3"/>
    <w:rsid w:val="00445900"/>
    <w:rsid w:val="00447962"/>
    <w:rsid w:val="004709C6"/>
    <w:rsid w:val="0049194D"/>
    <w:rsid w:val="004A0E0D"/>
    <w:rsid w:val="004B1216"/>
    <w:rsid w:val="004B7834"/>
    <w:rsid w:val="004C1AA9"/>
    <w:rsid w:val="004C5D8E"/>
    <w:rsid w:val="004E0B94"/>
    <w:rsid w:val="004E7991"/>
    <w:rsid w:val="004F0A42"/>
    <w:rsid w:val="004F1189"/>
    <w:rsid w:val="005032FD"/>
    <w:rsid w:val="005034CD"/>
    <w:rsid w:val="00506734"/>
    <w:rsid w:val="00522DAC"/>
    <w:rsid w:val="005353B2"/>
    <w:rsid w:val="00540733"/>
    <w:rsid w:val="00550B80"/>
    <w:rsid w:val="00555574"/>
    <w:rsid w:val="00557F49"/>
    <w:rsid w:val="00563160"/>
    <w:rsid w:val="00564AEE"/>
    <w:rsid w:val="00564DAC"/>
    <w:rsid w:val="005747E3"/>
    <w:rsid w:val="00576577"/>
    <w:rsid w:val="00582674"/>
    <w:rsid w:val="00587304"/>
    <w:rsid w:val="00590299"/>
    <w:rsid w:val="005927BA"/>
    <w:rsid w:val="005A06DD"/>
    <w:rsid w:val="005A2621"/>
    <w:rsid w:val="005A5BD0"/>
    <w:rsid w:val="005A7329"/>
    <w:rsid w:val="005B564C"/>
    <w:rsid w:val="005C043C"/>
    <w:rsid w:val="005C284E"/>
    <w:rsid w:val="005C35DE"/>
    <w:rsid w:val="005E0E5C"/>
    <w:rsid w:val="00601880"/>
    <w:rsid w:val="00602E8F"/>
    <w:rsid w:val="00611FBA"/>
    <w:rsid w:val="00613A68"/>
    <w:rsid w:val="00615A48"/>
    <w:rsid w:val="00621B71"/>
    <w:rsid w:val="00634E87"/>
    <w:rsid w:val="00642EE3"/>
    <w:rsid w:val="0065465C"/>
    <w:rsid w:val="00671520"/>
    <w:rsid w:val="006809C8"/>
    <w:rsid w:val="006843F9"/>
    <w:rsid w:val="006973EC"/>
    <w:rsid w:val="006A0AD4"/>
    <w:rsid w:val="006C2DCC"/>
    <w:rsid w:val="00706DDE"/>
    <w:rsid w:val="00706E82"/>
    <w:rsid w:val="00743207"/>
    <w:rsid w:val="00743E77"/>
    <w:rsid w:val="00750846"/>
    <w:rsid w:val="00756EE4"/>
    <w:rsid w:val="00760344"/>
    <w:rsid w:val="00765A0B"/>
    <w:rsid w:val="007722A6"/>
    <w:rsid w:val="00775BC5"/>
    <w:rsid w:val="00776951"/>
    <w:rsid w:val="00787224"/>
    <w:rsid w:val="00794086"/>
    <w:rsid w:val="007A1059"/>
    <w:rsid w:val="007A6571"/>
    <w:rsid w:val="007B12DB"/>
    <w:rsid w:val="007B70AF"/>
    <w:rsid w:val="007C1A4B"/>
    <w:rsid w:val="007D2905"/>
    <w:rsid w:val="007F1628"/>
    <w:rsid w:val="007F5B99"/>
    <w:rsid w:val="008178DF"/>
    <w:rsid w:val="00831911"/>
    <w:rsid w:val="00834CB4"/>
    <w:rsid w:val="00847936"/>
    <w:rsid w:val="008521C5"/>
    <w:rsid w:val="008600D8"/>
    <w:rsid w:val="0086632B"/>
    <w:rsid w:val="008825AE"/>
    <w:rsid w:val="008909F6"/>
    <w:rsid w:val="0089386B"/>
    <w:rsid w:val="008952CD"/>
    <w:rsid w:val="008A720F"/>
    <w:rsid w:val="008C2349"/>
    <w:rsid w:val="008C24EF"/>
    <w:rsid w:val="008C3214"/>
    <w:rsid w:val="008D6ED0"/>
    <w:rsid w:val="008E68D0"/>
    <w:rsid w:val="008F0919"/>
    <w:rsid w:val="00904D82"/>
    <w:rsid w:val="00913CD8"/>
    <w:rsid w:val="00924B60"/>
    <w:rsid w:val="00926512"/>
    <w:rsid w:val="0093079B"/>
    <w:rsid w:val="00930FD5"/>
    <w:rsid w:val="0094707B"/>
    <w:rsid w:val="00947794"/>
    <w:rsid w:val="009550E5"/>
    <w:rsid w:val="00955228"/>
    <w:rsid w:val="00965406"/>
    <w:rsid w:val="009660B1"/>
    <w:rsid w:val="00966BFA"/>
    <w:rsid w:val="00966DE2"/>
    <w:rsid w:val="00983943"/>
    <w:rsid w:val="00986900"/>
    <w:rsid w:val="00990F27"/>
    <w:rsid w:val="00993948"/>
    <w:rsid w:val="009A1B1E"/>
    <w:rsid w:val="009A3426"/>
    <w:rsid w:val="009B1B16"/>
    <w:rsid w:val="009B1FCE"/>
    <w:rsid w:val="009B38E1"/>
    <w:rsid w:val="009B56C3"/>
    <w:rsid w:val="009C07C1"/>
    <w:rsid w:val="009C0A46"/>
    <w:rsid w:val="009C326D"/>
    <w:rsid w:val="009D062E"/>
    <w:rsid w:val="009E2AD1"/>
    <w:rsid w:val="009E67E7"/>
    <w:rsid w:val="009F3005"/>
    <w:rsid w:val="009F787A"/>
    <w:rsid w:val="00A02398"/>
    <w:rsid w:val="00A13783"/>
    <w:rsid w:val="00A234C3"/>
    <w:rsid w:val="00A34C00"/>
    <w:rsid w:val="00A4637A"/>
    <w:rsid w:val="00A51B58"/>
    <w:rsid w:val="00A52364"/>
    <w:rsid w:val="00A61438"/>
    <w:rsid w:val="00A662B8"/>
    <w:rsid w:val="00A72E46"/>
    <w:rsid w:val="00A75D68"/>
    <w:rsid w:val="00A76190"/>
    <w:rsid w:val="00A92078"/>
    <w:rsid w:val="00A92A6D"/>
    <w:rsid w:val="00AA0D11"/>
    <w:rsid w:val="00AA5764"/>
    <w:rsid w:val="00AB7D74"/>
    <w:rsid w:val="00AC1EDB"/>
    <w:rsid w:val="00AC44F1"/>
    <w:rsid w:val="00AC50D7"/>
    <w:rsid w:val="00AD3505"/>
    <w:rsid w:val="00AD49AB"/>
    <w:rsid w:val="00AD7CEC"/>
    <w:rsid w:val="00AE1BFB"/>
    <w:rsid w:val="00AE3212"/>
    <w:rsid w:val="00AE380F"/>
    <w:rsid w:val="00AE3DFD"/>
    <w:rsid w:val="00AF0186"/>
    <w:rsid w:val="00B048AC"/>
    <w:rsid w:val="00B04E65"/>
    <w:rsid w:val="00B1477E"/>
    <w:rsid w:val="00B267C9"/>
    <w:rsid w:val="00B271E5"/>
    <w:rsid w:val="00B27A89"/>
    <w:rsid w:val="00B27AF0"/>
    <w:rsid w:val="00B31E22"/>
    <w:rsid w:val="00B3366A"/>
    <w:rsid w:val="00B36CC1"/>
    <w:rsid w:val="00B430A2"/>
    <w:rsid w:val="00B43DB7"/>
    <w:rsid w:val="00B4754E"/>
    <w:rsid w:val="00B56FF9"/>
    <w:rsid w:val="00B614EF"/>
    <w:rsid w:val="00B64087"/>
    <w:rsid w:val="00B748EB"/>
    <w:rsid w:val="00B74D71"/>
    <w:rsid w:val="00B90981"/>
    <w:rsid w:val="00B91234"/>
    <w:rsid w:val="00B97809"/>
    <w:rsid w:val="00BA02FE"/>
    <w:rsid w:val="00BB1CD7"/>
    <w:rsid w:val="00BB6266"/>
    <w:rsid w:val="00BC46A7"/>
    <w:rsid w:val="00BC5269"/>
    <w:rsid w:val="00C17AA4"/>
    <w:rsid w:val="00C2257C"/>
    <w:rsid w:val="00C22984"/>
    <w:rsid w:val="00C24706"/>
    <w:rsid w:val="00C40D82"/>
    <w:rsid w:val="00C43B35"/>
    <w:rsid w:val="00C5039F"/>
    <w:rsid w:val="00C52E11"/>
    <w:rsid w:val="00C620C7"/>
    <w:rsid w:val="00C64FC5"/>
    <w:rsid w:val="00C71684"/>
    <w:rsid w:val="00C765DD"/>
    <w:rsid w:val="00C76ECF"/>
    <w:rsid w:val="00CA0C36"/>
    <w:rsid w:val="00CA44A0"/>
    <w:rsid w:val="00CB0907"/>
    <w:rsid w:val="00CC1E98"/>
    <w:rsid w:val="00CC2751"/>
    <w:rsid w:val="00CC65A2"/>
    <w:rsid w:val="00CE3B54"/>
    <w:rsid w:val="00CE68D6"/>
    <w:rsid w:val="00CE709D"/>
    <w:rsid w:val="00CF1116"/>
    <w:rsid w:val="00CF7571"/>
    <w:rsid w:val="00D013B1"/>
    <w:rsid w:val="00D12822"/>
    <w:rsid w:val="00D14DFB"/>
    <w:rsid w:val="00D16DA3"/>
    <w:rsid w:val="00D34ACB"/>
    <w:rsid w:val="00D367F3"/>
    <w:rsid w:val="00D37298"/>
    <w:rsid w:val="00D447ED"/>
    <w:rsid w:val="00D47E06"/>
    <w:rsid w:val="00D5600E"/>
    <w:rsid w:val="00D70B64"/>
    <w:rsid w:val="00D72B8C"/>
    <w:rsid w:val="00D77F7D"/>
    <w:rsid w:val="00D82181"/>
    <w:rsid w:val="00D85FED"/>
    <w:rsid w:val="00DB44AF"/>
    <w:rsid w:val="00DC4284"/>
    <w:rsid w:val="00DE314D"/>
    <w:rsid w:val="00DF008D"/>
    <w:rsid w:val="00DF35F1"/>
    <w:rsid w:val="00E129DA"/>
    <w:rsid w:val="00E165A8"/>
    <w:rsid w:val="00E23D1C"/>
    <w:rsid w:val="00E2469F"/>
    <w:rsid w:val="00E265F6"/>
    <w:rsid w:val="00E27CB5"/>
    <w:rsid w:val="00E35A64"/>
    <w:rsid w:val="00E36B15"/>
    <w:rsid w:val="00E5367C"/>
    <w:rsid w:val="00E55CE7"/>
    <w:rsid w:val="00E62982"/>
    <w:rsid w:val="00E66FF5"/>
    <w:rsid w:val="00E852C7"/>
    <w:rsid w:val="00E91FA7"/>
    <w:rsid w:val="00EA5107"/>
    <w:rsid w:val="00EB0F88"/>
    <w:rsid w:val="00EB23D9"/>
    <w:rsid w:val="00EB52AF"/>
    <w:rsid w:val="00EC7C93"/>
    <w:rsid w:val="00EE021A"/>
    <w:rsid w:val="00EE0500"/>
    <w:rsid w:val="00EE6C2E"/>
    <w:rsid w:val="00EF50FB"/>
    <w:rsid w:val="00F0088F"/>
    <w:rsid w:val="00F0794E"/>
    <w:rsid w:val="00F1758F"/>
    <w:rsid w:val="00F203F3"/>
    <w:rsid w:val="00F21E3E"/>
    <w:rsid w:val="00F22F43"/>
    <w:rsid w:val="00F25D3E"/>
    <w:rsid w:val="00F41B80"/>
    <w:rsid w:val="00F46B4B"/>
    <w:rsid w:val="00F510F8"/>
    <w:rsid w:val="00F541C7"/>
    <w:rsid w:val="00F56885"/>
    <w:rsid w:val="00F604B8"/>
    <w:rsid w:val="00F63332"/>
    <w:rsid w:val="00F70CEA"/>
    <w:rsid w:val="00F97EA4"/>
    <w:rsid w:val="00FA570E"/>
    <w:rsid w:val="00FA725C"/>
    <w:rsid w:val="00FD0606"/>
    <w:rsid w:val="00FD07F5"/>
    <w:rsid w:val="00FD2DBA"/>
    <w:rsid w:val="00FD2F47"/>
    <w:rsid w:val="00FD4D23"/>
    <w:rsid w:val="00FD5AB2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E387"/>
  <w15:docId w15:val="{F5ED197C-E55C-42B7-A08B-A3D5787E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A5"/>
    <w:pPr>
      <w:ind w:left="714" w:hanging="35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E8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606"/>
    <w:pPr>
      <w:ind w:left="720"/>
      <w:contextualSpacing/>
    </w:pPr>
  </w:style>
  <w:style w:type="table" w:styleId="TableGrid">
    <w:name w:val="Table Grid"/>
    <w:basedOn w:val="TableNormal"/>
    <w:rsid w:val="004C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2E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2E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2E8F"/>
    <w:pPr>
      <w:spacing w:before="100" w:beforeAutospacing="1" w:after="100" w:afterAutospacing="1"/>
      <w:ind w:left="0" w:firstLine="0"/>
      <w:jc w:val="left"/>
    </w:pPr>
    <w:rPr>
      <w:rFonts w:eastAsia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FD"/>
    <w:rPr>
      <w:rFonts w:ascii="Tahoma" w:hAnsi="Tahoma" w:cs="Tahoma"/>
      <w:sz w:val="16"/>
      <w:szCs w:val="16"/>
    </w:rPr>
  </w:style>
  <w:style w:type="paragraph" w:customStyle="1" w:styleId="t-10-9-kurz-s">
    <w:name w:val="t-10-9-kurz-s"/>
    <w:basedOn w:val="Normal"/>
    <w:rsid w:val="00756EE4"/>
    <w:pPr>
      <w:spacing w:before="100" w:beforeAutospacing="1" w:after="100" w:afterAutospacing="1"/>
      <w:ind w:left="0" w:firstLine="0"/>
      <w:jc w:val="left"/>
    </w:pPr>
    <w:rPr>
      <w:rFonts w:eastAsia="Times New Roman"/>
      <w:szCs w:val="24"/>
      <w:lang w:eastAsia="hr-HR"/>
    </w:rPr>
  </w:style>
  <w:style w:type="paragraph" w:customStyle="1" w:styleId="tb-na16">
    <w:name w:val="tb-na16"/>
    <w:basedOn w:val="Normal"/>
    <w:rsid w:val="00756EE4"/>
    <w:pPr>
      <w:spacing w:before="100" w:beforeAutospacing="1" w:after="100" w:afterAutospacing="1"/>
      <w:ind w:left="0" w:firstLine="0"/>
      <w:jc w:val="left"/>
    </w:pPr>
    <w:rPr>
      <w:rFonts w:eastAsia="Times New Roman"/>
      <w:szCs w:val="24"/>
      <w:lang w:eastAsia="hr-HR"/>
    </w:rPr>
  </w:style>
  <w:style w:type="paragraph" w:customStyle="1" w:styleId="t-9-8">
    <w:name w:val="t-9-8"/>
    <w:basedOn w:val="Normal"/>
    <w:rsid w:val="00756EE4"/>
    <w:pPr>
      <w:spacing w:before="100" w:beforeAutospacing="1" w:after="100" w:afterAutospacing="1"/>
      <w:ind w:left="0" w:firstLine="0"/>
      <w:jc w:val="left"/>
    </w:pPr>
    <w:rPr>
      <w:rFonts w:eastAsia="Times New Roman"/>
      <w:szCs w:val="24"/>
      <w:lang w:eastAsia="hr-HR"/>
    </w:rPr>
  </w:style>
  <w:style w:type="paragraph" w:customStyle="1" w:styleId="Default">
    <w:name w:val="Default"/>
    <w:rsid w:val="009F787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summarymark">
    <w:name w:val="summarymark"/>
    <w:basedOn w:val="DefaultParagraphFont"/>
    <w:rsid w:val="008521C5"/>
  </w:style>
  <w:style w:type="character" w:styleId="CommentReference">
    <w:name w:val="annotation reference"/>
    <w:basedOn w:val="DefaultParagraphFont"/>
    <w:uiPriority w:val="99"/>
    <w:semiHidden/>
    <w:unhideWhenUsed/>
    <w:rsid w:val="00852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1C5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1C5"/>
    <w:rPr>
      <w:rFonts w:ascii="Times New Roman" w:hAnsi="Times New Roman"/>
      <w:b/>
      <w:bCs/>
      <w:lang w:eastAsia="en-US"/>
    </w:rPr>
  </w:style>
  <w:style w:type="paragraph" w:styleId="Header">
    <w:name w:val="header"/>
    <w:basedOn w:val="Normal"/>
    <w:link w:val="HeaderChar"/>
    <w:unhideWhenUsed/>
    <w:rsid w:val="002A62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A6216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62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216"/>
    <w:rPr>
      <w:rFonts w:ascii="Times New Roman" w:hAnsi="Times New Roman"/>
      <w:sz w:val="24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4F0A42"/>
  </w:style>
  <w:style w:type="paragraph" w:styleId="NoSpacing">
    <w:name w:val="No Spacing"/>
    <w:link w:val="NoSpacingChar"/>
    <w:uiPriority w:val="1"/>
    <w:qFormat/>
    <w:rsid w:val="004F0A42"/>
  </w:style>
  <w:style w:type="character" w:customStyle="1" w:styleId="Tijeloteksta1">
    <w:name w:val="Tijelo teksta1"/>
    <w:basedOn w:val="DefaultParagraphFont"/>
    <w:rsid w:val="0093079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/>
    </w:rPr>
  </w:style>
  <w:style w:type="character" w:customStyle="1" w:styleId="Bodytext">
    <w:name w:val="Body text_"/>
    <w:basedOn w:val="DefaultParagraphFont"/>
    <w:link w:val="Tijeloteksta2"/>
    <w:rsid w:val="00563160"/>
    <w:rPr>
      <w:rFonts w:cs="Calibri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563160"/>
    <w:pPr>
      <w:widowControl w:val="0"/>
      <w:shd w:val="clear" w:color="auto" w:fill="FFFFFF"/>
      <w:spacing w:before="360" w:line="292" w:lineRule="exact"/>
      <w:ind w:left="0" w:hanging="400"/>
    </w:pPr>
    <w:rPr>
      <w:rFonts w:ascii="Calibri" w:hAnsi="Calibri" w:cs="Calibri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16635-2B5F-4E15-8397-798A254D34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491782A-A96D-4081-A284-B126544AB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25C79-D3DB-440C-B3AF-FDC4A7AFCF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D1AFFD-D726-43B0-A2FC-AC12ED1C6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4C5F92-7436-4852-A1C4-ABB35CE9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1836</Words>
  <Characters>10471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Varaždin</Company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Bogovic</dc:creator>
  <cp:lastModifiedBy>Vlatka Šelimber</cp:lastModifiedBy>
  <cp:revision>2</cp:revision>
  <cp:lastPrinted>2018-12-03T08:31:00Z</cp:lastPrinted>
  <dcterms:created xsi:type="dcterms:W3CDTF">2019-01-31T14:11:00Z</dcterms:created>
  <dcterms:modified xsi:type="dcterms:W3CDTF">2019-01-31T14:11:00Z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